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B5" w:rsidRPr="002D65B5" w:rsidRDefault="002D65B5" w:rsidP="002D65B5">
      <w:pPr>
        <w:spacing w:after="0" w:line="240" w:lineRule="auto"/>
        <w:jc w:val="both"/>
        <w:rPr>
          <w:rFonts w:ascii="Times New Roman" w:eastAsia="Times New Roman" w:hAnsi="Times New Roman" w:cs="Times New Roman"/>
          <w:szCs w:val="24"/>
        </w:rPr>
      </w:pPr>
    </w:p>
    <w:p w:rsidR="001E4718" w:rsidRPr="000075BD" w:rsidRDefault="001E4718" w:rsidP="00C446E3">
      <w:pPr>
        <w:widowControl w:val="0"/>
        <w:autoSpaceDE w:val="0"/>
        <w:autoSpaceDN w:val="0"/>
        <w:adjustRightInd w:val="0"/>
        <w:spacing w:after="0" w:line="216" w:lineRule="auto"/>
        <w:jc w:val="right"/>
        <w:rPr>
          <w:rFonts w:ascii="Adobe Garamond Pro" w:eastAsia="Times New Roman" w:hAnsi="Adobe Garamond Pro" w:cs="Andalus"/>
          <w:szCs w:val="24"/>
        </w:rPr>
      </w:pPr>
      <w:r w:rsidRPr="000075BD">
        <w:rPr>
          <w:rFonts w:ascii="Adobe Garamond Pro" w:eastAsia="Times New Roman" w:hAnsi="Adobe Garamond Pro" w:cs="Andalus"/>
          <w:bCs/>
          <w:sz w:val="40"/>
          <w:szCs w:val="40"/>
        </w:rPr>
        <w:t>Sheehan &amp; Associates, P.C.</w:t>
      </w:r>
    </w:p>
    <w:p w:rsidR="001E4718" w:rsidRPr="000075BD" w:rsidRDefault="001E4718" w:rsidP="00C446E3">
      <w:pPr>
        <w:widowControl w:val="0"/>
        <w:autoSpaceDE w:val="0"/>
        <w:autoSpaceDN w:val="0"/>
        <w:adjustRightInd w:val="0"/>
        <w:spacing w:after="0" w:line="216" w:lineRule="auto"/>
        <w:jc w:val="right"/>
        <w:rPr>
          <w:rFonts w:ascii="Adobe Garamond Pro" w:eastAsia="Times New Roman" w:hAnsi="Adobe Garamond Pro" w:cs="Andalus"/>
          <w:szCs w:val="24"/>
        </w:rPr>
      </w:pPr>
      <w:r w:rsidRPr="000075BD">
        <w:rPr>
          <w:rFonts w:ascii="Adobe Garamond Pro" w:eastAsia="Times New Roman" w:hAnsi="Adobe Garamond Pro" w:cs="Andalus"/>
          <w:bCs/>
          <w:szCs w:val="24"/>
        </w:rPr>
        <w:t>Attorneys at Law</w:t>
      </w:r>
    </w:p>
    <w:p w:rsidR="001E4718" w:rsidRDefault="00E92BE9" w:rsidP="00C446E3">
      <w:pPr>
        <w:widowControl w:val="0"/>
        <w:autoSpaceDE w:val="0"/>
        <w:autoSpaceDN w:val="0"/>
        <w:adjustRightInd w:val="0"/>
        <w:spacing w:after="0" w:line="216" w:lineRule="auto"/>
        <w:jc w:val="right"/>
        <w:rPr>
          <w:rFonts w:ascii="Adobe Garamond Pro" w:eastAsia="Times New Roman" w:hAnsi="Adobe Garamond Pro" w:cs="Andalus"/>
          <w:bCs/>
          <w:szCs w:val="24"/>
        </w:rPr>
      </w:pPr>
      <w:r>
        <w:rPr>
          <w:rFonts w:ascii="Adobe Garamond Pro" w:eastAsia="Times New Roman" w:hAnsi="Adobe Garamond Pro" w:cs="Andalus"/>
          <w:bCs/>
          <w:szCs w:val="24"/>
        </w:rPr>
        <w:t>891 Northern Boulevard</w:t>
      </w:r>
    </w:p>
    <w:p w:rsidR="001E4718" w:rsidRPr="000075BD" w:rsidRDefault="00E92BE9" w:rsidP="00C446E3">
      <w:pPr>
        <w:widowControl w:val="0"/>
        <w:autoSpaceDE w:val="0"/>
        <w:autoSpaceDN w:val="0"/>
        <w:adjustRightInd w:val="0"/>
        <w:spacing w:after="0" w:line="216" w:lineRule="auto"/>
        <w:jc w:val="right"/>
        <w:rPr>
          <w:rFonts w:ascii="Adobe Garamond Pro" w:eastAsia="Times New Roman" w:hAnsi="Adobe Garamond Pro" w:cs="Andalus"/>
          <w:bCs/>
          <w:szCs w:val="24"/>
        </w:rPr>
      </w:pPr>
      <w:r>
        <w:rPr>
          <w:rFonts w:ascii="Adobe Garamond Pro" w:eastAsia="Times New Roman" w:hAnsi="Adobe Garamond Pro" w:cs="Andalus"/>
          <w:bCs/>
          <w:szCs w:val="24"/>
        </w:rPr>
        <w:t>Suite 201</w:t>
      </w:r>
    </w:p>
    <w:p w:rsidR="001E4718" w:rsidRPr="000075BD" w:rsidRDefault="001E4718" w:rsidP="00C446E3">
      <w:pPr>
        <w:widowControl w:val="0"/>
        <w:autoSpaceDE w:val="0"/>
        <w:autoSpaceDN w:val="0"/>
        <w:adjustRightInd w:val="0"/>
        <w:spacing w:after="0" w:line="216" w:lineRule="auto"/>
        <w:jc w:val="right"/>
        <w:rPr>
          <w:rFonts w:ascii="Adobe Garamond Pro" w:eastAsia="Times New Roman" w:hAnsi="Adobe Garamond Pro" w:cs="Andalus"/>
          <w:bCs/>
          <w:szCs w:val="24"/>
        </w:rPr>
      </w:pPr>
      <w:r>
        <w:rPr>
          <w:rFonts w:ascii="Adobe Garamond Pro" w:eastAsia="Times New Roman" w:hAnsi="Adobe Garamond Pro" w:cs="Andalus"/>
          <w:bCs/>
          <w:szCs w:val="24"/>
        </w:rPr>
        <w:t>Great Neck, NY 11021</w:t>
      </w:r>
    </w:p>
    <w:p w:rsidR="001E4718" w:rsidRPr="000075BD" w:rsidRDefault="00E92BE9" w:rsidP="00C446E3">
      <w:pPr>
        <w:widowControl w:val="0"/>
        <w:autoSpaceDE w:val="0"/>
        <w:autoSpaceDN w:val="0"/>
        <w:adjustRightInd w:val="0"/>
        <w:spacing w:after="0" w:line="216" w:lineRule="auto"/>
        <w:jc w:val="right"/>
        <w:rPr>
          <w:rFonts w:ascii="Adobe Garamond Pro" w:eastAsia="Times New Roman" w:hAnsi="Adobe Garamond Pro" w:cs="Andalus"/>
          <w:bCs/>
          <w:szCs w:val="24"/>
        </w:rPr>
      </w:pPr>
      <w:r>
        <w:rPr>
          <w:rFonts w:ascii="Adobe Garamond Pro" w:eastAsia="Times New Roman" w:hAnsi="Adobe Garamond Pro" w:cs="Andalus"/>
          <w:bCs/>
          <w:szCs w:val="24"/>
        </w:rPr>
        <w:t>Telephone: (516) 303-0552</w:t>
      </w:r>
    </w:p>
    <w:p w:rsidR="001E4718" w:rsidRDefault="001E4718" w:rsidP="00C446E3">
      <w:pPr>
        <w:widowControl w:val="0"/>
        <w:autoSpaceDE w:val="0"/>
        <w:autoSpaceDN w:val="0"/>
        <w:adjustRightInd w:val="0"/>
        <w:spacing w:after="0" w:line="216" w:lineRule="auto"/>
        <w:jc w:val="right"/>
        <w:rPr>
          <w:rFonts w:ascii="Adobe Garamond Pro" w:eastAsia="Times New Roman" w:hAnsi="Adobe Garamond Pro" w:cs="Andalus"/>
          <w:bCs/>
          <w:szCs w:val="24"/>
        </w:rPr>
      </w:pPr>
      <w:r w:rsidRPr="000075BD">
        <w:rPr>
          <w:rFonts w:ascii="Adobe Garamond Pro" w:eastAsia="Times New Roman" w:hAnsi="Adobe Garamond Pro" w:cs="Andalus"/>
          <w:bCs/>
          <w:szCs w:val="24"/>
        </w:rPr>
        <w:t>Facsimile: (516) 234-7800</w:t>
      </w:r>
    </w:p>
    <w:p w:rsidR="001E4718" w:rsidRPr="00E3716C" w:rsidRDefault="001E4718" w:rsidP="00C446E3">
      <w:pPr>
        <w:widowControl w:val="0"/>
        <w:autoSpaceDE w:val="0"/>
        <w:autoSpaceDN w:val="0"/>
        <w:adjustRightInd w:val="0"/>
        <w:spacing w:after="0" w:line="216" w:lineRule="auto"/>
        <w:jc w:val="right"/>
        <w:rPr>
          <w:rFonts w:ascii="Adobe Garamond Pro" w:eastAsia="Times New Roman" w:hAnsi="Adobe Garamond Pro" w:cs="Andalus"/>
          <w:szCs w:val="24"/>
        </w:rPr>
      </w:pP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r>
      <w:r>
        <w:rPr>
          <w:rFonts w:ascii="Adobe Garamond Pro" w:eastAsia="Times New Roman" w:hAnsi="Adobe Garamond Pro" w:cs="Andalus"/>
          <w:bCs/>
          <w:szCs w:val="24"/>
        </w:rPr>
        <w:tab/>
        <w:t xml:space="preserve"> spencer@spencersheehan.com</w:t>
      </w:r>
      <w:bookmarkStart w:id="0" w:name="_GoBack"/>
      <w:bookmarkEnd w:id="0"/>
      <w:r>
        <w:rPr>
          <w:rFonts w:ascii="Adobe Garamond Pro" w:eastAsia="Times New Roman" w:hAnsi="Adobe Garamond Pro" w:cs="Andalus"/>
          <w:szCs w:val="24"/>
        </w:rPr>
        <w:t xml:space="preserve">                    </w:t>
      </w:r>
    </w:p>
    <w:p w:rsidR="001E4718" w:rsidRPr="000075BD" w:rsidRDefault="001E4718" w:rsidP="001E4718">
      <w:pPr>
        <w:widowControl w:val="0"/>
        <w:autoSpaceDE w:val="0"/>
        <w:autoSpaceDN w:val="0"/>
        <w:adjustRightInd w:val="0"/>
        <w:spacing w:after="0" w:line="240" w:lineRule="auto"/>
        <w:rPr>
          <w:rFonts w:ascii="Adobe Garamond Pro" w:eastAsia="Times New Roman" w:hAnsi="Adobe Garamond Pro" w:cs="Sakkal Majalla"/>
          <w:b/>
          <w:bCs/>
          <w:sz w:val="22"/>
          <w:szCs w:val="22"/>
        </w:rPr>
      </w:pPr>
      <w:r w:rsidRPr="000075BD">
        <w:rPr>
          <w:rFonts w:ascii="Adobe Garamond Pro" w:eastAsia="Times New Roman" w:hAnsi="Adobe Garamond Pro" w:cs="Sakkal Majalla"/>
          <w:b/>
          <w:bCs/>
          <w:sz w:val="22"/>
          <w:szCs w:val="22"/>
        </w:rPr>
        <w:t xml:space="preserve">              </w:t>
      </w:r>
    </w:p>
    <w:p w:rsidR="001E4718" w:rsidRPr="001E4718" w:rsidRDefault="001E4718" w:rsidP="001E4718">
      <w:pPr>
        <w:widowControl w:val="0"/>
        <w:autoSpaceDE w:val="0"/>
        <w:autoSpaceDN w:val="0"/>
        <w:adjustRightInd w:val="0"/>
        <w:spacing w:after="0" w:line="19" w:lineRule="exact"/>
        <w:rPr>
          <w:rFonts w:ascii="Adobe Garamond Pro" w:eastAsia="Times New Roman" w:hAnsi="Adobe Garamond Pro" w:cs="Times New Roman"/>
          <w:szCs w:val="24"/>
        </w:rPr>
      </w:pPr>
      <w:r w:rsidRPr="000075BD">
        <w:rPr>
          <w:rFonts w:ascii="Adobe Garamond Pro" w:eastAsia="Times New Roman" w:hAnsi="Adobe Garamond Pro" w:cs="Times New Roman"/>
          <w:noProof/>
          <w:szCs w:val="24"/>
        </w:rPr>
        <mc:AlternateContent>
          <mc:Choice Requires="wps">
            <w:drawing>
              <wp:anchor distT="0" distB="0" distL="114300" distR="114300" simplePos="0" relativeHeight="251666432" behindDoc="1" locked="1" layoutInCell="0" allowOverlap="1" wp14:anchorId="0B790D11" wp14:editId="3DF7082A">
                <wp:simplePos x="0" y="0"/>
                <wp:positionH relativeFrom="page">
                  <wp:posOffset>914400</wp:posOffset>
                </wp:positionH>
                <wp:positionV relativeFrom="paragraph">
                  <wp:posOffset>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6717" id="Rectangle 2"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kL7AIAADs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k1mQv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2D65B5" w:rsidRPr="002D65B5" w:rsidRDefault="002D65B5" w:rsidP="002D65B5">
      <w:pPr>
        <w:spacing w:after="0" w:line="240" w:lineRule="auto"/>
        <w:ind w:left="5760"/>
        <w:jc w:val="both"/>
        <w:rPr>
          <w:rFonts w:ascii="Adobe Garamond Pro" w:eastAsia="Times New Roman" w:hAnsi="Adobe Garamond Pro" w:cs="Times New Roman"/>
          <w:szCs w:val="24"/>
        </w:rPr>
      </w:pPr>
    </w:p>
    <w:p w:rsidR="002D65B5" w:rsidRPr="002D65B5" w:rsidRDefault="00D26FF2" w:rsidP="002D65B5">
      <w:pPr>
        <w:spacing w:after="0" w:line="240" w:lineRule="auto"/>
        <w:ind w:left="5760"/>
        <w:jc w:val="both"/>
        <w:rPr>
          <w:rFonts w:ascii="Adobe Garamond Pro" w:eastAsia="Times New Roman" w:hAnsi="Adobe Garamond Pro" w:cs="Times New Roman"/>
          <w:szCs w:val="24"/>
        </w:rPr>
      </w:pPr>
      <w:r>
        <w:rPr>
          <w:rFonts w:ascii="Adobe Garamond Pro" w:eastAsia="Times New Roman" w:hAnsi="Adobe Garamond Pro" w:cs="Times New Roman"/>
          <w:szCs w:val="24"/>
        </w:rPr>
        <w:t>August 4, 2014</w:t>
      </w:r>
    </w:p>
    <w:p w:rsidR="001E4718" w:rsidRDefault="001E4718" w:rsidP="001E4718">
      <w:pPr>
        <w:spacing w:after="0" w:line="240" w:lineRule="auto"/>
        <w:contextualSpacing/>
        <w:rPr>
          <w:rFonts w:ascii="Adobe Garamond Pro" w:eastAsia="Times New Roman" w:hAnsi="Adobe Garamond Pro" w:cs="Times New Roman"/>
          <w:spacing w:val="-5"/>
          <w:szCs w:val="24"/>
        </w:rPr>
      </w:pPr>
    </w:p>
    <w:p w:rsidR="001E4718" w:rsidRDefault="00A374F7" w:rsidP="001E4718">
      <w:pPr>
        <w:spacing w:after="0" w:line="240" w:lineRule="auto"/>
        <w:contextualSpacing/>
        <w:rPr>
          <w:rFonts w:ascii="Adobe Garamond Pro" w:eastAsia="Times New Roman" w:hAnsi="Adobe Garamond Pro" w:cs="Times New Roman"/>
          <w:i/>
          <w:spacing w:val="-5"/>
          <w:szCs w:val="24"/>
        </w:rPr>
      </w:pPr>
      <w:r w:rsidRPr="00A374F7">
        <w:rPr>
          <w:rFonts w:ascii="Adobe Garamond Pro" w:eastAsia="Times New Roman" w:hAnsi="Adobe Garamond Pro" w:cs="Times New Roman"/>
          <w:i/>
          <w:spacing w:val="-5"/>
          <w:szCs w:val="24"/>
        </w:rPr>
        <w:t>Via ECF and First-Class Mail</w:t>
      </w:r>
    </w:p>
    <w:p w:rsidR="00A374F7" w:rsidRDefault="00A374F7" w:rsidP="001E4718">
      <w:pPr>
        <w:spacing w:after="0" w:line="240" w:lineRule="auto"/>
        <w:contextualSpacing/>
        <w:rPr>
          <w:rFonts w:ascii="Adobe Garamond Pro" w:eastAsia="Times New Roman" w:hAnsi="Adobe Garamond Pro" w:cs="Times New Roman"/>
          <w:i/>
          <w:spacing w:val="-5"/>
          <w:szCs w:val="24"/>
        </w:rPr>
      </w:pPr>
    </w:p>
    <w:p w:rsidR="00A374F7" w:rsidRDefault="00A374F7" w:rsidP="001E4718">
      <w:pPr>
        <w:spacing w:after="0" w:line="240" w:lineRule="auto"/>
        <w:contextualSpacing/>
        <w:rPr>
          <w:rFonts w:ascii="Adobe Garamond Pro" w:eastAsia="Times New Roman" w:hAnsi="Adobe Garamond Pro" w:cs="Times New Roman"/>
          <w:spacing w:val="-5"/>
          <w:szCs w:val="24"/>
        </w:rPr>
      </w:pPr>
      <w:r>
        <w:rPr>
          <w:rFonts w:ascii="Adobe Garamond Pro" w:eastAsia="Times New Roman" w:hAnsi="Adobe Garamond Pro" w:cs="Times New Roman"/>
          <w:spacing w:val="-5"/>
          <w:szCs w:val="24"/>
        </w:rPr>
        <w:t>Honorable Leonard D. Wexler</w:t>
      </w:r>
    </w:p>
    <w:p w:rsidR="00A374F7" w:rsidRDefault="00A374F7" w:rsidP="001E4718">
      <w:pPr>
        <w:spacing w:after="0" w:line="240" w:lineRule="auto"/>
        <w:contextualSpacing/>
        <w:rPr>
          <w:rFonts w:ascii="Adobe Garamond Pro" w:eastAsia="Times New Roman" w:hAnsi="Adobe Garamond Pro" w:cs="Times New Roman"/>
          <w:spacing w:val="-5"/>
          <w:szCs w:val="24"/>
        </w:rPr>
      </w:pPr>
      <w:r>
        <w:rPr>
          <w:rFonts w:ascii="Adobe Garamond Pro" w:eastAsia="Times New Roman" w:hAnsi="Adobe Garamond Pro" w:cs="Times New Roman"/>
          <w:spacing w:val="-5"/>
          <w:szCs w:val="24"/>
        </w:rPr>
        <w:t>United States District Court Judge</w:t>
      </w:r>
    </w:p>
    <w:p w:rsidR="00A374F7" w:rsidRDefault="00A374F7" w:rsidP="001E4718">
      <w:pPr>
        <w:spacing w:after="0" w:line="240" w:lineRule="auto"/>
        <w:contextualSpacing/>
        <w:rPr>
          <w:rFonts w:ascii="Adobe Garamond Pro" w:eastAsia="Times New Roman" w:hAnsi="Adobe Garamond Pro" w:cs="Times New Roman"/>
          <w:spacing w:val="-5"/>
          <w:szCs w:val="24"/>
        </w:rPr>
      </w:pPr>
      <w:r>
        <w:rPr>
          <w:rFonts w:ascii="Adobe Garamond Pro" w:eastAsia="Times New Roman" w:hAnsi="Adobe Garamond Pro" w:cs="Times New Roman"/>
          <w:spacing w:val="-5"/>
          <w:szCs w:val="24"/>
        </w:rPr>
        <w:t>United States District Court – EDNY</w:t>
      </w:r>
    </w:p>
    <w:p w:rsidR="00A374F7" w:rsidRDefault="00A374F7" w:rsidP="001E4718">
      <w:pPr>
        <w:spacing w:after="0" w:line="240" w:lineRule="auto"/>
        <w:contextualSpacing/>
        <w:rPr>
          <w:rFonts w:ascii="Adobe Garamond Pro" w:eastAsia="Times New Roman" w:hAnsi="Adobe Garamond Pro" w:cs="Times New Roman"/>
          <w:spacing w:val="-5"/>
          <w:szCs w:val="24"/>
        </w:rPr>
      </w:pPr>
      <w:r>
        <w:rPr>
          <w:rFonts w:ascii="Adobe Garamond Pro" w:eastAsia="Times New Roman" w:hAnsi="Adobe Garamond Pro" w:cs="Times New Roman"/>
          <w:spacing w:val="-5"/>
          <w:szCs w:val="24"/>
        </w:rPr>
        <w:t>100 Federal Plaza</w:t>
      </w:r>
    </w:p>
    <w:p w:rsidR="00A374F7" w:rsidRPr="00A374F7" w:rsidRDefault="00A374F7" w:rsidP="001E4718">
      <w:pPr>
        <w:spacing w:after="0" w:line="240" w:lineRule="auto"/>
        <w:contextualSpacing/>
        <w:rPr>
          <w:rFonts w:ascii="Adobe Garamond Pro" w:eastAsia="Times New Roman" w:hAnsi="Adobe Garamond Pro" w:cs="Times New Roman"/>
          <w:spacing w:val="-5"/>
          <w:szCs w:val="24"/>
        </w:rPr>
      </w:pPr>
      <w:r>
        <w:rPr>
          <w:rFonts w:ascii="Adobe Garamond Pro" w:eastAsia="Times New Roman" w:hAnsi="Adobe Garamond Pro" w:cs="Times New Roman"/>
          <w:spacing w:val="-5"/>
          <w:szCs w:val="24"/>
        </w:rPr>
        <w:t>Central Islip, NY 11722</w:t>
      </w:r>
    </w:p>
    <w:p w:rsidR="001E4718" w:rsidRDefault="001E4718" w:rsidP="001E4718">
      <w:pPr>
        <w:spacing w:after="0" w:line="240" w:lineRule="auto"/>
        <w:rPr>
          <w:rFonts w:ascii="Adobe Garamond Pro" w:hAnsi="Adobe Garamond Pro"/>
        </w:rPr>
      </w:pPr>
      <w:r>
        <w:rPr>
          <w:rFonts w:ascii="Adobe Garamond Pro" w:hAnsi="Adobe Garamond Pro"/>
        </w:rPr>
        <w:tab/>
      </w:r>
      <w:r>
        <w:rPr>
          <w:rFonts w:ascii="Adobe Garamond Pro" w:hAnsi="Adobe Garamond Pro"/>
        </w:rPr>
        <w:tab/>
      </w:r>
      <w:r>
        <w:rPr>
          <w:rFonts w:ascii="Adobe Garamond Pro" w:hAnsi="Adobe Garamond Pro"/>
        </w:rPr>
        <w:tab/>
      </w:r>
    </w:p>
    <w:p w:rsidR="001E4718" w:rsidRDefault="001E4718" w:rsidP="001E4718">
      <w:pPr>
        <w:spacing w:after="0" w:line="240" w:lineRule="auto"/>
        <w:rPr>
          <w:rFonts w:ascii="Adobe Garamond Pro" w:hAnsi="Adobe Garamond Pro"/>
        </w:rPr>
      </w:pPr>
    </w:p>
    <w:p w:rsidR="00A03C9E" w:rsidRDefault="002D65B5" w:rsidP="00B6569A">
      <w:pPr>
        <w:spacing w:after="0" w:line="240" w:lineRule="auto"/>
        <w:ind w:left="4320"/>
        <w:rPr>
          <w:rFonts w:ascii="Adobe Garamond Pro" w:eastAsia="Times New Roman" w:hAnsi="Adobe Garamond Pro" w:cs="Times New Roman"/>
          <w:szCs w:val="24"/>
        </w:rPr>
      </w:pPr>
      <w:r w:rsidRPr="002D65B5">
        <w:rPr>
          <w:rFonts w:ascii="Adobe Garamond Pro" w:eastAsia="Times New Roman" w:hAnsi="Adobe Garamond Pro" w:cs="Times New Roman"/>
          <w:szCs w:val="24"/>
        </w:rPr>
        <w:t>Re:</w:t>
      </w:r>
      <w:r w:rsidRPr="002D65B5">
        <w:rPr>
          <w:rFonts w:ascii="Adobe Garamond Pro" w:eastAsia="Times New Roman" w:hAnsi="Adobe Garamond Pro" w:cs="Times New Roman"/>
          <w:szCs w:val="24"/>
        </w:rPr>
        <w:tab/>
      </w:r>
      <w:r w:rsidR="00B6569A">
        <w:rPr>
          <w:rFonts w:ascii="Adobe Garamond Pro" w:eastAsia="Times New Roman" w:hAnsi="Adobe Garamond Pro" w:cs="Times New Roman"/>
          <w:szCs w:val="24"/>
        </w:rPr>
        <w:t>BSI Mortgage IV, LLC v. Kaushik et al.</w:t>
      </w:r>
    </w:p>
    <w:p w:rsidR="00B6569A" w:rsidRPr="0083251E" w:rsidRDefault="00B6569A" w:rsidP="00B6569A">
      <w:pPr>
        <w:spacing w:after="0" w:line="240" w:lineRule="auto"/>
        <w:ind w:left="4320"/>
        <w:rPr>
          <w:rFonts w:ascii="Adobe Garamond Pro" w:eastAsia="Times New Roman" w:hAnsi="Adobe Garamond Pro" w:cs="Times New Roman"/>
          <w:szCs w:val="24"/>
          <w:u w:val="single"/>
        </w:rPr>
      </w:pPr>
      <w:r>
        <w:rPr>
          <w:rFonts w:ascii="Adobe Garamond Pro" w:eastAsia="Times New Roman" w:hAnsi="Adobe Garamond Pro" w:cs="Times New Roman"/>
          <w:szCs w:val="24"/>
        </w:rPr>
        <w:tab/>
      </w:r>
      <w:r w:rsidRPr="0083251E">
        <w:rPr>
          <w:rFonts w:ascii="Adobe Garamond Pro" w:eastAsia="Times New Roman" w:hAnsi="Adobe Garamond Pro" w:cs="Times New Roman"/>
          <w:szCs w:val="24"/>
          <w:u w:val="single"/>
        </w:rPr>
        <w:t>Docket No. 14-</w:t>
      </w:r>
      <w:r w:rsidR="0083251E" w:rsidRPr="0083251E">
        <w:rPr>
          <w:rFonts w:ascii="Adobe Garamond Pro" w:eastAsia="Times New Roman" w:hAnsi="Adobe Garamond Pro" w:cs="Times New Roman"/>
          <w:szCs w:val="24"/>
          <w:u w:val="single"/>
        </w:rPr>
        <w:t>cv-01640 (LDW)(ARL)</w:t>
      </w:r>
    </w:p>
    <w:p w:rsidR="002D65B5" w:rsidRPr="002D65B5" w:rsidRDefault="002D65B5" w:rsidP="002D65B5">
      <w:pPr>
        <w:widowControl w:val="0"/>
        <w:spacing w:after="0" w:line="239" w:lineRule="auto"/>
        <w:rPr>
          <w:rFonts w:ascii="Adobe Garamond Pro" w:eastAsia="Times New Roman" w:hAnsi="Adobe Garamond Pro" w:cs="Times New Roman"/>
          <w:szCs w:val="24"/>
        </w:rPr>
      </w:pPr>
    </w:p>
    <w:p w:rsidR="002D65B5" w:rsidRDefault="002D65B5"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 xml:space="preserve">Dear </w:t>
      </w:r>
      <w:r w:rsidR="0083251E">
        <w:rPr>
          <w:rFonts w:ascii="Adobe Garamond Pro" w:eastAsia="Times New Roman" w:hAnsi="Adobe Garamond Pro" w:cs="Times New Roman"/>
          <w:szCs w:val="24"/>
        </w:rPr>
        <w:t>Judge Wexler</w:t>
      </w:r>
      <w:r w:rsidR="001E4718">
        <w:rPr>
          <w:rFonts w:ascii="Adobe Garamond Pro" w:eastAsia="Times New Roman" w:hAnsi="Adobe Garamond Pro" w:cs="Times New Roman"/>
          <w:szCs w:val="24"/>
        </w:rPr>
        <w:t>:</w:t>
      </w:r>
    </w:p>
    <w:p w:rsidR="001E4718" w:rsidRDefault="001E4718" w:rsidP="002D65B5">
      <w:pPr>
        <w:widowControl w:val="0"/>
        <w:spacing w:after="0" w:line="239" w:lineRule="auto"/>
        <w:rPr>
          <w:rFonts w:ascii="Adobe Garamond Pro" w:eastAsia="Times New Roman" w:hAnsi="Adobe Garamond Pro" w:cs="Times New Roman"/>
          <w:szCs w:val="24"/>
        </w:rPr>
      </w:pPr>
    </w:p>
    <w:p w:rsidR="00080ADA" w:rsidRDefault="0083251E"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t xml:space="preserve">This firm is counsel </w:t>
      </w:r>
      <w:r w:rsidR="009D3F4D">
        <w:rPr>
          <w:rFonts w:ascii="Adobe Garamond Pro" w:eastAsia="Times New Roman" w:hAnsi="Adobe Garamond Pro" w:cs="Times New Roman"/>
          <w:szCs w:val="24"/>
        </w:rPr>
        <w:t>to Vekrum Kaushik s/h/a Vekram Kaushik (“Kaushik”)</w:t>
      </w:r>
      <w:r w:rsidR="00D26791">
        <w:rPr>
          <w:rFonts w:ascii="Adobe Garamond Pro" w:eastAsia="Times New Roman" w:hAnsi="Adobe Garamond Pro" w:cs="Times New Roman"/>
          <w:szCs w:val="24"/>
        </w:rPr>
        <w:t xml:space="preserve">, defendant in the above-entitled action.  </w:t>
      </w:r>
      <w:r w:rsidR="00D8722A">
        <w:rPr>
          <w:rFonts w:ascii="Adobe Garamond Pro" w:eastAsia="Times New Roman" w:hAnsi="Adobe Garamond Pro" w:cs="Times New Roman"/>
          <w:szCs w:val="24"/>
        </w:rPr>
        <w:t>On July 11, 2014, counsel for plaintiff BSI Mortgage IV LLC</w:t>
      </w:r>
      <w:r w:rsidR="001D3058">
        <w:rPr>
          <w:rFonts w:ascii="Adobe Garamond Pro" w:eastAsia="Times New Roman" w:hAnsi="Adobe Garamond Pro" w:cs="Times New Roman"/>
          <w:szCs w:val="24"/>
        </w:rPr>
        <w:t xml:space="preserve"> (“BSI”)</w:t>
      </w:r>
      <w:r w:rsidR="006B6686">
        <w:rPr>
          <w:rFonts w:ascii="Adobe Garamond Pro" w:eastAsia="Times New Roman" w:hAnsi="Adobe Garamond Pro" w:cs="Times New Roman"/>
          <w:szCs w:val="24"/>
        </w:rPr>
        <w:t xml:space="preserve"> requested a second</w:t>
      </w:r>
      <w:r w:rsidR="00D8722A">
        <w:rPr>
          <w:rFonts w:ascii="Adobe Garamond Pro" w:eastAsia="Times New Roman" w:hAnsi="Adobe Garamond Pro" w:cs="Times New Roman"/>
          <w:szCs w:val="24"/>
        </w:rPr>
        <w:t xml:space="preserve"> pre-mo</w:t>
      </w:r>
      <w:r w:rsidR="00D26FF2">
        <w:rPr>
          <w:rFonts w:ascii="Adobe Garamond Pro" w:eastAsia="Times New Roman" w:hAnsi="Adobe Garamond Pro" w:cs="Times New Roman"/>
          <w:szCs w:val="24"/>
        </w:rPr>
        <w:t>tion conference via ECF.  Dckt.</w:t>
      </w:r>
      <w:r w:rsidR="00D8722A">
        <w:rPr>
          <w:rFonts w:ascii="Adobe Garamond Pro" w:eastAsia="Times New Roman" w:hAnsi="Adobe Garamond Pro" w:cs="Times New Roman"/>
          <w:szCs w:val="24"/>
        </w:rPr>
        <w:t xml:space="preserve"> No. 13.</w:t>
      </w:r>
      <w:r w:rsidR="006B6686">
        <w:rPr>
          <w:rFonts w:ascii="Adobe Garamond Pro" w:eastAsia="Times New Roman" w:hAnsi="Adobe Garamond Pro" w:cs="Times New Roman"/>
          <w:szCs w:val="24"/>
        </w:rPr>
        <w:t xml:space="preserve">  On July 28, 2014, Your Honor, in denying said request, </w:t>
      </w:r>
      <w:r w:rsidR="00260DA7">
        <w:rPr>
          <w:rFonts w:ascii="Adobe Garamond Pro" w:eastAsia="Times New Roman" w:hAnsi="Adobe Garamond Pro" w:cs="Times New Roman"/>
          <w:szCs w:val="24"/>
        </w:rPr>
        <w:t xml:space="preserve">issued a </w:t>
      </w:r>
      <w:r w:rsidR="00080ADA">
        <w:rPr>
          <w:rFonts w:ascii="Adobe Garamond Pro" w:eastAsia="Times New Roman" w:hAnsi="Adobe Garamond Pro" w:cs="Times New Roman"/>
          <w:szCs w:val="24"/>
        </w:rPr>
        <w:t xml:space="preserve">Scheduling Order filed via ECF </w:t>
      </w:r>
      <w:r w:rsidR="00260DA7">
        <w:rPr>
          <w:rFonts w:ascii="Adobe Garamond Pro" w:eastAsia="Times New Roman" w:hAnsi="Adobe Garamond Pro" w:cs="Times New Roman"/>
          <w:szCs w:val="24"/>
        </w:rPr>
        <w:t>directing that counsel for the parties confer and submit a briefing schedule for Court approval within two (2) weeks.</w:t>
      </w:r>
    </w:p>
    <w:p w:rsidR="00AD0070" w:rsidRDefault="00AD0070" w:rsidP="002D65B5">
      <w:pPr>
        <w:widowControl w:val="0"/>
        <w:spacing w:after="0" w:line="239" w:lineRule="auto"/>
        <w:rPr>
          <w:rFonts w:ascii="Adobe Garamond Pro" w:eastAsia="Times New Roman" w:hAnsi="Adobe Garamond Pro" w:cs="Times New Roman"/>
          <w:szCs w:val="24"/>
        </w:rPr>
      </w:pPr>
    </w:p>
    <w:p w:rsidR="00AD0070" w:rsidRDefault="00AD0070" w:rsidP="00AD0070">
      <w:pPr>
        <w:pStyle w:val="ListParagraph"/>
        <w:widowControl w:val="0"/>
        <w:numPr>
          <w:ilvl w:val="0"/>
          <w:numId w:val="5"/>
        </w:numPr>
        <w:spacing w:after="0" w:line="239" w:lineRule="auto"/>
        <w:rPr>
          <w:rFonts w:ascii="Adobe Garamond Pro" w:eastAsia="Times New Roman" w:hAnsi="Adobe Garamond Pro" w:cs="Times New Roman"/>
          <w:b/>
          <w:szCs w:val="24"/>
        </w:rPr>
      </w:pPr>
      <w:r>
        <w:rPr>
          <w:rFonts w:ascii="Adobe Garamond Pro" w:eastAsia="Times New Roman" w:hAnsi="Adobe Garamond Pro" w:cs="Times New Roman"/>
          <w:b/>
          <w:szCs w:val="24"/>
        </w:rPr>
        <w:t>Background</w:t>
      </w:r>
    </w:p>
    <w:p w:rsidR="00260DA7" w:rsidRDefault="00260DA7" w:rsidP="002D65B5">
      <w:pPr>
        <w:widowControl w:val="0"/>
        <w:spacing w:after="0" w:line="239" w:lineRule="auto"/>
        <w:rPr>
          <w:rFonts w:ascii="Adobe Garamond Pro" w:eastAsia="Times New Roman" w:hAnsi="Adobe Garamond Pro" w:cs="Times New Roman"/>
          <w:szCs w:val="24"/>
        </w:rPr>
      </w:pPr>
    </w:p>
    <w:p w:rsidR="001345B5" w:rsidRDefault="00260DA7"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r>
      <w:r w:rsidR="0067727E">
        <w:rPr>
          <w:rFonts w:ascii="Adobe Garamond Pro" w:eastAsia="Times New Roman" w:hAnsi="Adobe Garamond Pro" w:cs="Times New Roman"/>
          <w:szCs w:val="24"/>
        </w:rPr>
        <w:t>In its “Verified Complaint” fil</w:t>
      </w:r>
      <w:r w:rsidR="008A4DFE">
        <w:rPr>
          <w:rFonts w:ascii="Adobe Garamond Pro" w:eastAsia="Times New Roman" w:hAnsi="Adobe Garamond Pro" w:cs="Times New Roman"/>
          <w:szCs w:val="24"/>
        </w:rPr>
        <w:t xml:space="preserve">ed on March 12, 2014, </w:t>
      </w:r>
      <w:r w:rsidR="0067727E">
        <w:rPr>
          <w:rFonts w:ascii="Adobe Garamond Pro" w:eastAsia="Times New Roman" w:hAnsi="Adobe Garamond Pro" w:cs="Times New Roman"/>
          <w:szCs w:val="24"/>
        </w:rPr>
        <w:t xml:space="preserve">BSI, </w:t>
      </w:r>
      <w:r w:rsidR="001D3058">
        <w:rPr>
          <w:rFonts w:ascii="Adobe Garamond Pro" w:eastAsia="Times New Roman" w:hAnsi="Adobe Garamond Pro" w:cs="Times New Roman"/>
          <w:szCs w:val="24"/>
        </w:rPr>
        <w:t xml:space="preserve">by and through its attorneys, The Margolin &amp; Weinreb Law Group, LLP asserted </w:t>
      </w:r>
      <w:r w:rsidR="000F739C">
        <w:rPr>
          <w:rFonts w:ascii="Adobe Garamond Pro" w:eastAsia="Times New Roman" w:hAnsi="Adobe Garamond Pro" w:cs="Times New Roman"/>
          <w:szCs w:val="24"/>
        </w:rPr>
        <w:t xml:space="preserve">it “is a Delaware Limited Liability Company with its usual place of business” in Florida.  See Dckt. No. 1, ¶ 2.  </w:t>
      </w:r>
      <w:r w:rsidR="00D43FB5">
        <w:rPr>
          <w:rFonts w:ascii="Adobe Garamond Pro" w:eastAsia="Times New Roman" w:hAnsi="Adobe Garamond Pro" w:cs="Times New Roman"/>
          <w:szCs w:val="24"/>
        </w:rPr>
        <w:t>Plaintiff’s Verified Complaint went on to state that</w:t>
      </w:r>
      <w:r w:rsidR="000B4CEF">
        <w:rPr>
          <w:rFonts w:ascii="Adobe Garamond Pro" w:eastAsia="Times New Roman" w:hAnsi="Adobe Garamond Pro" w:cs="Times New Roman"/>
          <w:szCs w:val="24"/>
        </w:rPr>
        <w:t xml:space="preserve"> as “the present A</w:t>
      </w:r>
      <w:r w:rsidR="00D43FB5">
        <w:rPr>
          <w:rFonts w:ascii="Adobe Garamond Pro" w:eastAsia="Times New Roman" w:hAnsi="Adobe Garamond Pro" w:cs="Times New Roman"/>
          <w:szCs w:val="24"/>
        </w:rPr>
        <w:t>ction is betwe</w:t>
      </w:r>
      <w:r w:rsidR="000B4CEF">
        <w:rPr>
          <w:rFonts w:ascii="Adobe Garamond Pro" w:eastAsia="Times New Roman" w:hAnsi="Adobe Garamond Pro" w:cs="Times New Roman"/>
          <w:szCs w:val="24"/>
        </w:rPr>
        <w:t xml:space="preserve">en citizens of different states”, </w:t>
      </w:r>
      <w:r w:rsidR="001D3058">
        <w:rPr>
          <w:rFonts w:ascii="Adobe Garamond Pro" w:eastAsia="Times New Roman" w:hAnsi="Adobe Garamond Pro" w:cs="Times New Roman"/>
          <w:szCs w:val="24"/>
        </w:rPr>
        <w:t xml:space="preserve">“jurisdiction is based upon diversity of citizenship pursuant to 28 U.S.C. § 1332.”  See Dckt. No. </w:t>
      </w:r>
      <w:r w:rsidR="00D10225">
        <w:rPr>
          <w:rFonts w:ascii="Adobe Garamond Pro" w:eastAsia="Times New Roman" w:hAnsi="Adobe Garamond Pro" w:cs="Times New Roman"/>
          <w:szCs w:val="24"/>
        </w:rPr>
        <w:t xml:space="preserve">1, </w:t>
      </w:r>
      <w:r w:rsidR="00726965">
        <w:rPr>
          <w:rFonts w:ascii="Adobe Garamond Pro" w:eastAsia="Times New Roman" w:hAnsi="Adobe Garamond Pro" w:cs="Times New Roman"/>
          <w:szCs w:val="24"/>
        </w:rPr>
        <w:t xml:space="preserve">¶ 7.  </w:t>
      </w:r>
    </w:p>
    <w:p w:rsidR="001345B5" w:rsidRDefault="001345B5" w:rsidP="002D65B5">
      <w:pPr>
        <w:widowControl w:val="0"/>
        <w:spacing w:after="0" w:line="239" w:lineRule="auto"/>
        <w:rPr>
          <w:rFonts w:ascii="Adobe Garamond Pro" w:eastAsia="Times New Roman" w:hAnsi="Adobe Garamond Pro" w:cs="Times New Roman"/>
          <w:szCs w:val="24"/>
        </w:rPr>
      </w:pPr>
    </w:p>
    <w:p w:rsidR="001A3AE2" w:rsidRPr="001345B5" w:rsidRDefault="001345B5" w:rsidP="001345B5">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Solely o</w:t>
      </w:r>
      <w:r w:rsidR="001A3AE2">
        <w:rPr>
          <w:rFonts w:ascii="Adobe Garamond Pro" w:eastAsia="Times New Roman" w:hAnsi="Adobe Garamond Pro" w:cs="Times New Roman"/>
          <w:szCs w:val="24"/>
        </w:rPr>
        <w:t xml:space="preserve">n this basis, Plaintiff sought to invoke diversity jurisdiction before this honorable Court.  In doing so, Plaintiff BSI has </w:t>
      </w:r>
      <w:r w:rsidR="001A3AE2" w:rsidRPr="00FE7E22">
        <w:rPr>
          <w:rFonts w:ascii="Adobe Garamond Pro" w:eastAsia="Times New Roman" w:hAnsi="Adobe Garamond Pro" w:cs="Times New Roman"/>
          <w:szCs w:val="24"/>
        </w:rPr>
        <w:t>mistakenly relied on the rule a</w:t>
      </w:r>
      <w:r w:rsidR="001A3AE2">
        <w:rPr>
          <w:rFonts w:ascii="Adobe Garamond Pro" w:eastAsia="Times New Roman" w:hAnsi="Adobe Garamond Pro" w:cs="Times New Roman"/>
          <w:szCs w:val="24"/>
        </w:rPr>
        <w:t>pplied to corporations, rather</w:t>
      </w:r>
      <w:r w:rsidR="00E32CF8">
        <w:rPr>
          <w:rFonts w:ascii="Adobe Garamond Pro" w:eastAsia="Times New Roman" w:hAnsi="Adobe Garamond Pro" w:cs="Times New Roman"/>
          <w:szCs w:val="24"/>
        </w:rPr>
        <w:t xml:space="preserve"> </w:t>
      </w:r>
      <w:r w:rsidR="001A3AE2" w:rsidRPr="00FE7E22">
        <w:rPr>
          <w:rFonts w:ascii="Adobe Garamond Pro" w:eastAsia="Times New Roman" w:hAnsi="Adobe Garamond Pro" w:cs="Times New Roman"/>
          <w:szCs w:val="24"/>
        </w:rPr>
        <w:lastRenderedPageBreak/>
        <w:t>than the rule applied to limited liability companies, to dete</w:t>
      </w:r>
      <w:r>
        <w:rPr>
          <w:rFonts w:ascii="Adobe Garamond Pro" w:eastAsia="Times New Roman" w:hAnsi="Adobe Garamond Pro" w:cs="Times New Roman"/>
          <w:szCs w:val="24"/>
        </w:rPr>
        <w:t xml:space="preserve">rmine diversity of citizenship, </w:t>
      </w:r>
      <w:r>
        <w:rPr>
          <w:rFonts w:ascii="Adobe Garamond Pro" w:eastAsia="Times New Roman" w:hAnsi="Adobe Garamond Pro" w:cs="Times New Roman"/>
          <w:i/>
          <w:szCs w:val="24"/>
        </w:rPr>
        <w:t>infra</w:t>
      </w:r>
      <w:r>
        <w:rPr>
          <w:rFonts w:ascii="Adobe Garamond Pro" w:eastAsia="Times New Roman" w:hAnsi="Adobe Garamond Pro" w:cs="Times New Roman"/>
          <w:szCs w:val="24"/>
        </w:rPr>
        <w:t>.</w:t>
      </w:r>
    </w:p>
    <w:p w:rsidR="00AD0070" w:rsidRDefault="00AD0070" w:rsidP="002D65B5">
      <w:pPr>
        <w:widowControl w:val="0"/>
        <w:spacing w:after="0" w:line="239" w:lineRule="auto"/>
        <w:rPr>
          <w:rFonts w:ascii="Adobe Garamond Pro" w:eastAsia="Times New Roman" w:hAnsi="Adobe Garamond Pro" w:cs="Times New Roman"/>
          <w:szCs w:val="24"/>
        </w:rPr>
      </w:pPr>
    </w:p>
    <w:p w:rsidR="00AD0070" w:rsidRDefault="006B6686" w:rsidP="00AD0070">
      <w:pPr>
        <w:pStyle w:val="ListParagraph"/>
        <w:widowControl w:val="0"/>
        <w:numPr>
          <w:ilvl w:val="0"/>
          <w:numId w:val="5"/>
        </w:numPr>
        <w:spacing w:after="0" w:line="239" w:lineRule="auto"/>
        <w:rPr>
          <w:rFonts w:ascii="Adobe Garamond Pro" w:eastAsia="Times New Roman" w:hAnsi="Adobe Garamond Pro" w:cs="Times New Roman"/>
          <w:b/>
          <w:szCs w:val="24"/>
        </w:rPr>
      </w:pPr>
      <w:r>
        <w:rPr>
          <w:rFonts w:ascii="Adobe Garamond Pro" w:eastAsia="Times New Roman" w:hAnsi="Adobe Garamond Pro" w:cs="Times New Roman"/>
          <w:b/>
          <w:szCs w:val="24"/>
        </w:rPr>
        <w:t>Differences between Corporations and LLCs in the Context of Establishing Diversity J</w:t>
      </w:r>
      <w:r w:rsidR="00AD0070">
        <w:rPr>
          <w:rFonts w:ascii="Adobe Garamond Pro" w:eastAsia="Times New Roman" w:hAnsi="Adobe Garamond Pro" w:cs="Times New Roman"/>
          <w:b/>
          <w:szCs w:val="24"/>
        </w:rPr>
        <w:t>urisdiction</w:t>
      </w:r>
    </w:p>
    <w:p w:rsidR="00AD0070" w:rsidRDefault="00AD0070" w:rsidP="002D65B5">
      <w:pPr>
        <w:widowControl w:val="0"/>
        <w:spacing w:after="0" w:line="239" w:lineRule="auto"/>
        <w:rPr>
          <w:rFonts w:ascii="Adobe Garamond Pro" w:eastAsia="Times New Roman" w:hAnsi="Adobe Garamond Pro" w:cs="Times New Roman"/>
          <w:szCs w:val="24"/>
        </w:rPr>
      </w:pPr>
    </w:p>
    <w:p w:rsidR="00E24365" w:rsidRDefault="00E24365" w:rsidP="00890422">
      <w:pPr>
        <w:widowControl w:val="0"/>
        <w:spacing w:after="0" w:line="239" w:lineRule="auto"/>
        <w:ind w:firstLine="720"/>
        <w:rPr>
          <w:rFonts w:ascii="Adobe Garamond Pro" w:eastAsia="Times New Roman" w:hAnsi="Adobe Garamond Pro" w:cs="Times New Roman"/>
          <w:szCs w:val="24"/>
        </w:rPr>
      </w:pPr>
      <w:r w:rsidRPr="00E24365">
        <w:rPr>
          <w:rFonts w:ascii="Adobe Garamond Pro" w:eastAsia="Times New Roman" w:hAnsi="Adobe Garamond Pro" w:cs="Times New Roman"/>
          <w:szCs w:val="24"/>
        </w:rPr>
        <w:t xml:space="preserve">Under 28 U.S.C. §1332(c)(1), a corporation is deemed a citizen of both the state of its incorporation and the state of its principal place of business. </w:t>
      </w:r>
      <w:r w:rsidR="005516B7">
        <w:rPr>
          <w:rFonts w:ascii="Adobe Garamond Pro" w:eastAsia="Times New Roman" w:hAnsi="Adobe Garamond Pro" w:cs="Times New Roman"/>
          <w:szCs w:val="24"/>
        </w:rPr>
        <w:t xml:space="preserve"> </w:t>
      </w:r>
      <w:r w:rsidRPr="00E24365">
        <w:rPr>
          <w:rFonts w:ascii="Adobe Garamond Pro" w:eastAsia="Times New Roman" w:hAnsi="Adobe Garamond Pro" w:cs="Times New Roman"/>
          <w:szCs w:val="24"/>
        </w:rPr>
        <w:t xml:space="preserve">However, </w:t>
      </w:r>
      <w:r>
        <w:rPr>
          <w:rFonts w:ascii="Adobe Garamond Pro" w:eastAsia="Times New Roman" w:hAnsi="Adobe Garamond Pro" w:cs="Times New Roman"/>
          <w:szCs w:val="24"/>
        </w:rPr>
        <w:t>the</w:t>
      </w:r>
      <w:r w:rsidRPr="00E24365">
        <w:rPr>
          <w:rFonts w:ascii="Adobe Garamond Pro" w:eastAsia="Times New Roman" w:hAnsi="Adobe Garamond Pro" w:cs="Times New Roman"/>
          <w:szCs w:val="24"/>
        </w:rPr>
        <w:t xml:space="preserve"> seminal </w:t>
      </w:r>
      <w:r w:rsidR="00763AF4">
        <w:rPr>
          <w:rFonts w:ascii="Adobe Garamond Pro" w:eastAsia="Times New Roman" w:hAnsi="Adobe Garamond Pro" w:cs="Times New Roman"/>
          <w:szCs w:val="24"/>
        </w:rPr>
        <w:t xml:space="preserve">decision by the United States </w:t>
      </w:r>
      <w:r w:rsidR="00D26FF2">
        <w:rPr>
          <w:rFonts w:ascii="Adobe Garamond Pro" w:eastAsia="Times New Roman" w:hAnsi="Adobe Garamond Pro" w:cs="Times New Roman"/>
          <w:szCs w:val="24"/>
        </w:rPr>
        <w:t>Supreme</w:t>
      </w:r>
      <w:r w:rsidR="00763AF4">
        <w:rPr>
          <w:rFonts w:ascii="Adobe Garamond Pro" w:eastAsia="Times New Roman" w:hAnsi="Adobe Garamond Pro" w:cs="Times New Roman"/>
          <w:szCs w:val="24"/>
        </w:rPr>
        <w:t xml:space="preserve"> Court</w:t>
      </w:r>
      <w:r w:rsidRPr="00E24365">
        <w:rPr>
          <w:rFonts w:ascii="Adobe Garamond Pro" w:eastAsia="Times New Roman" w:hAnsi="Adobe Garamond Pro" w:cs="Times New Roman"/>
          <w:szCs w:val="24"/>
        </w:rPr>
        <w:t xml:space="preserve">, </w:t>
      </w:r>
      <w:r w:rsidRPr="00E24365">
        <w:rPr>
          <w:rFonts w:ascii="Adobe Garamond Pro" w:eastAsia="Times New Roman" w:hAnsi="Adobe Garamond Pro" w:cs="Times New Roman"/>
          <w:szCs w:val="24"/>
          <w:u w:val="single"/>
        </w:rPr>
        <w:t>Carden v. Arkoma Associates</w:t>
      </w:r>
      <w:r w:rsidR="00763AF4">
        <w:rPr>
          <w:rFonts w:ascii="Adobe Garamond Pro" w:eastAsia="Times New Roman" w:hAnsi="Adobe Garamond Pro" w:cs="Times New Roman"/>
          <w:szCs w:val="24"/>
        </w:rPr>
        <w:t>,</w:t>
      </w:r>
      <w:r>
        <w:rPr>
          <w:rFonts w:ascii="Adobe Garamond Pro" w:eastAsia="Times New Roman" w:hAnsi="Adobe Garamond Pro" w:cs="Times New Roman"/>
          <w:szCs w:val="24"/>
        </w:rPr>
        <w:t xml:space="preserve"> </w:t>
      </w:r>
      <w:r w:rsidRPr="00E24365">
        <w:rPr>
          <w:rFonts w:ascii="Adobe Garamond Pro" w:eastAsia="Times New Roman" w:hAnsi="Adobe Garamond Pro" w:cs="Times New Roman"/>
          <w:szCs w:val="24"/>
        </w:rPr>
        <w:t xml:space="preserve">refused to extend the statute to unincorporated </w:t>
      </w:r>
      <w:r w:rsidR="005026EF">
        <w:rPr>
          <w:rFonts w:ascii="Adobe Garamond Pro" w:eastAsia="Times New Roman" w:hAnsi="Adobe Garamond Pro" w:cs="Times New Roman"/>
          <w:szCs w:val="24"/>
        </w:rPr>
        <w:t>associations</w:t>
      </w:r>
      <w:r w:rsidR="00890422">
        <w:rPr>
          <w:rFonts w:ascii="Adobe Garamond Pro" w:eastAsia="Times New Roman" w:hAnsi="Adobe Garamond Pro" w:cs="Times New Roman"/>
          <w:szCs w:val="24"/>
        </w:rPr>
        <w:t xml:space="preserve">.  </w:t>
      </w:r>
      <w:r w:rsidR="00763AF4" w:rsidRPr="00763AF4">
        <w:rPr>
          <w:rFonts w:ascii="Adobe Garamond Pro" w:eastAsia="Times New Roman" w:hAnsi="Adobe Garamond Pro" w:cs="Times New Roman"/>
          <w:szCs w:val="24"/>
        </w:rPr>
        <w:t>494 U.S. 185, 189 (1990)</w:t>
      </w:r>
      <w:r w:rsidR="00763AF4">
        <w:rPr>
          <w:rFonts w:ascii="Adobe Garamond Pro" w:eastAsia="Times New Roman" w:hAnsi="Adobe Garamond Pro" w:cs="Times New Roman"/>
          <w:szCs w:val="24"/>
        </w:rPr>
        <w:t xml:space="preserve">.  </w:t>
      </w:r>
      <w:r w:rsidRPr="00E24365">
        <w:rPr>
          <w:rFonts w:ascii="Adobe Garamond Pro" w:eastAsia="Times New Roman" w:hAnsi="Adobe Garamond Pro" w:cs="Times New Roman"/>
          <w:szCs w:val="24"/>
        </w:rPr>
        <w:t>Reasoning that</w:t>
      </w:r>
      <w:r w:rsidR="00763AF4">
        <w:rPr>
          <w:rFonts w:ascii="Adobe Garamond Pro" w:eastAsia="Times New Roman" w:hAnsi="Adobe Garamond Pro" w:cs="Times New Roman"/>
          <w:szCs w:val="24"/>
        </w:rPr>
        <w:t xml:space="preserve"> the use of the word “corporation” in §1332(c)(1) </w:t>
      </w:r>
      <w:r w:rsidRPr="00E24365">
        <w:rPr>
          <w:rFonts w:ascii="Adobe Garamond Pro" w:eastAsia="Times New Roman" w:hAnsi="Adobe Garamond Pro" w:cs="Times New Roman"/>
          <w:szCs w:val="24"/>
        </w:rPr>
        <w:t xml:space="preserve">precluded its application to unincorporated associations, the </w:t>
      </w:r>
      <w:r w:rsidR="00763AF4">
        <w:rPr>
          <w:rFonts w:ascii="Adobe Garamond Pro" w:eastAsia="Times New Roman" w:hAnsi="Adobe Garamond Pro" w:cs="Times New Roman"/>
          <w:szCs w:val="24"/>
        </w:rPr>
        <w:t xml:space="preserve">Supreme </w:t>
      </w:r>
      <w:r w:rsidRPr="00E24365">
        <w:rPr>
          <w:rFonts w:ascii="Adobe Garamond Pro" w:eastAsia="Times New Roman" w:hAnsi="Adobe Garamond Pro" w:cs="Times New Roman"/>
          <w:szCs w:val="24"/>
        </w:rPr>
        <w:t>Court held that a limited partnership did not possess citizenship independent of its members.</w:t>
      </w:r>
      <w:r w:rsidR="00BC21C9">
        <w:rPr>
          <w:rFonts w:ascii="Adobe Garamond Pro" w:eastAsia="Times New Roman" w:hAnsi="Adobe Garamond Pro" w:cs="Times New Roman"/>
          <w:szCs w:val="24"/>
        </w:rPr>
        <w:t xml:space="preserve">  </w:t>
      </w:r>
      <w:r w:rsidR="00BC21C9" w:rsidRPr="00BC21C9">
        <w:rPr>
          <w:rFonts w:ascii="Adobe Garamond Pro" w:eastAsia="Times New Roman" w:hAnsi="Adobe Garamond Pro" w:cs="Times New Roman"/>
          <w:szCs w:val="24"/>
          <w:u w:val="single"/>
        </w:rPr>
        <w:t>Id</w:t>
      </w:r>
      <w:r w:rsidR="00BC21C9" w:rsidRPr="00BC21C9">
        <w:rPr>
          <w:rFonts w:ascii="Adobe Garamond Pro" w:eastAsia="Times New Roman" w:hAnsi="Adobe Garamond Pro" w:cs="Times New Roman"/>
          <w:szCs w:val="24"/>
        </w:rPr>
        <w:t>. at 196-97</w:t>
      </w:r>
      <w:r w:rsidR="00BC21C9">
        <w:rPr>
          <w:rFonts w:ascii="Adobe Garamond Pro" w:eastAsia="Times New Roman" w:hAnsi="Adobe Garamond Pro" w:cs="Times New Roman"/>
          <w:szCs w:val="24"/>
        </w:rPr>
        <w:t>.</w:t>
      </w:r>
    </w:p>
    <w:p w:rsidR="00E24365" w:rsidRDefault="00E24365" w:rsidP="002D65B5">
      <w:pPr>
        <w:widowControl w:val="0"/>
        <w:spacing w:after="0" w:line="239" w:lineRule="auto"/>
        <w:rPr>
          <w:rFonts w:ascii="Adobe Garamond Pro" w:eastAsia="Times New Roman" w:hAnsi="Adobe Garamond Pro" w:cs="Times New Roman"/>
          <w:szCs w:val="24"/>
        </w:rPr>
      </w:pPr>
    </w:p>
    <w:p w:rsidR="00E24365" w:rsidRDefault="00BC21C9" w:rsidP="00890422">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Though</w:t>
      </w:r>
      <w:r w:rsidRPr="00BC21C9">
        <w:rPr>
          <w:rFonts w:ascii="Adobe Garamond Pro" w:eastAsia="Times New Roman" w:hAnsi="Adobe Garamond Pro" w:cs="Times New Roman"/>
          <w:szCs w:val="24"/>
        </w:rPr>
        <w:t xml:space="preserve"> </w:t>
      </w:r>
      <w:r w:rsidRPr="005026EF">
        <w:rPr>
          <w:rFonts w:ascii="Adobe Garamond Pro" w:eastAsia="Times New Roman" w:hAnsi="Adobe Garamond Pro" w:cs="Times New Roman"/>
          <w:szCs w:val="24"/>
          <w:u w:val="single"/>
        </w:rPr>
        <w:t>Carden</w:t>
      </w:r>
      <w:r w:rsidRPr="00BC21C9">
        <w:rPr>
          <w:rFonts w:ascii="Adobe Garamond Pro" w:eastAsia="Times New Roman" w:hAnsi="Adobe Garamond Pro" w:cs="Times New Roman"/>
          <w:szCs w:val="24"/>
        </w:rPr>
        <w:t xml:space="preserve"> spoke directly to the citizenship of </w:t>
      </w:r>
      <w:r w:rsidR="005026EF">
        <w:rPr>
          <w:rFonts w:ascii="Adobe Garamond Pro" w:eastAsia="Times New Roman" w:hAnsi="Adobe Garamond Pro" w:cs="Times New Roman"/>
          <w:szCs w:val="24"/>
        </w:rPr>
        <w:t xml:space="preserve">limited partnerships, U.S. Courts of Appeals </w:t>
      </w:r>
      <w:r w:rsidRPr="00BC21C9">
        <w:rPr>
          <w:rFonts w:ascii="Adobe Garamond Pro" w:eastAsia="Times New Roman" w:hAnsi="Adobe Garamond Pro" w:cs="Times New Roman"/>
          <w:szCs w:val="24"/>
        </w:rPr>
        <w:t>have applied its rationale to other forms of unincorporated associations, including</w:t>
      </w:r>
      <w:r w:rsidR="005026EF">
        <w:rPr>
          <w:rFonts w:ascii="Adobe Garamond Pro" w:eastAsia="Times New Roman" w:hAnsi="Adobe Garamond Pro" w:cs="Times New Roman"/>
          <w:szCs w:val="24"/>
        </w:rPr>
        <w:t xml:space="preserve"> limited </w:t>
      </w:r>
      <w:r w:rsidR="00D26FF2">
        <w:rPr>
          <w:rFonts w:ascii="Adobe Garamond Pro" w:eastAsia="Times New Roman" w:hAnsi="Adobe Garamond Pro" w:cs="Times New Roman"/>
          <w:szCs w:val="24"/>
        </w:rPr>
        <w:t>liability</w:t>
      </w:r>
      <w:r w:rsidR="005026EF">
        <w:rPr>
          <w:rFonts w:ascii="Adobe Garamond Pro" w:eastAsia="Times New Roman" w:hAnsi="Adobe Garamond Pro" w:cs="Times New Roman"/>
          <w:szCs w:val="24"/>
        </w:rPr>
        <w:t xml:space="preserve"> companies</w:t>
      </w:r>
      <w:r w:rsidRPr="00BC21C9">
        <w:rPr>
          <w:rFonts w:ascii="Adobe Garamond Pro" w:eastAsia="Times New Roman" w:hAnsi="Adobe Garamond Pro" w:cs="Times New Roman"/>
          <w:szCs w:val="24"/>
        </w:rPr>
        <w:t xml:space="preserve"> </w:t>
      </w:r>
      <w:r w:rsidR="005026EF">
        <w:rPr>
          <w:rFonts w:ascii="Adobe Garamond Pro" w:eastAsia="Times New Roman" w:hAnsi="Adobe Garamond Pro" w:cs="Times New Roman"/>
          <w:szCs w:val="24"/>
        </w:rPr>
        <w:t>(“</w:t>
      </w:r>
      <w:r w:rsidR="00000299">
        <w:rPr>
          <w:rFonts w:ascii="Adobe Garamond Pro" w:eastAsia="Times New Roman" w:hAnsi="Adobe Garamond Pro" w:cs="Times New Roman"/>
          <w:szCs w:val="24"/>
        </w:rPr>
        <w:t>LLC”)</w:t>
      </w:r>
      <w:r w:rsidRPr="00BC21C9">
        <w:rPr>
          <w:rFonts w:ascii="Adobe Garamond Pro" w:eastAsia="Times New Roman" w:hAnsi="Adobe Garamond Pro" w:cs="Times New Roman"/>
          <w:szCs w:val="24"/>
        </w:rPr>
        <w:t>.</w:t>
      </w:r>
    </w:p>
    <w:p w:rsidR="00000299" w:rsidRDefault="00000299" w:rsidP="002D65B5">
      <w:pPr>
        <w:widowControl w:val="0"/>
        <w:spacing w:after="0" w:line="239" w:lineRule="auto"/>
        <w:rPr>
          <w:rFonts w:ascii="Adobe Garamond Pro" w:eastAsia="Times New Roman" w:hAnsi="Adobe Garamond Pro" w:cs="Times New Roman"/>
          <w:szCs w:val="24"/>
        </w:rPr>
      </w:pPr>
    </w:p>
    <w:p w:rsidR="00000299" w:rsidRDefault="00000299" w:rsidP="00890422">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 xml:space="preserve">Since the </w:t>
      </w:r>
      <w:r>
        <w:rPr>
          <w:rFonts w:ascii="Adobe Garamond Pro" w:eastAsia="Times New Roman" w:hAnsi="Adobe Garamond Pro" w:cs="Times New Roman"/>
          <w:szCs w:val="24"/>
          <w:u w:val="single"/>
        </w:rPr>
        <w:t>Carden</w:t>
      </w:r>
      <w:r>
        <w:rPr>
          <w:rFonts w:ascii="Adobe Garamond Pro" w:eastAsia="Times New Roman" w:hAnsi="Adobe Garamond Pro" w:cs="Times New Roman"/>
          <w:szCs w:val="24"/>
        </w:rPr>
        <w:t xml:space="preserve"> decision, all federal courts of appeals</w:t>
      </w:r>
      <w:r w:rsidR="00D023D2">
        <w:rPr>
          <w:rFonts w:ascii="Adobe Garamond Pro" w:eastAsia="Times New Roman" w:hAnsi="Adobe Garamond Pro" w:cs="Times New Roman"/>
          <w:szCs w:val="24"/>
        </w:rPr>
        <w:t xml:space="preserve"> (including the Second Circuit) </w:t>
      </w:r>
      <w:r>
        <w:rPr>
          <w:rFonts w:ascii="Adobe Garamond Pro" w:eastAsia="Times New Roman" w:hAnsi="Adobe Garamond Pro" w:cs="Times New Roman"/>
          <w:szCs w:val="24"/>
        </w:rPr>
        <w:t>which have considered the question of citizenship</w:t>
      </w:r>
      <w:r w:rsidR="005516B7">
        <w:rPr>
          <w:rFonts w:ascii="Adobe Garamond Pro" w:eastAsia="Times New Roman" w:hAnsi="Adobe Garamond Pro" w:cs="Times New Roman"/>
          <w:szCs w:val="24"/>
        </w:rPr>
        <w:t xml:space="preserve"> of unincorporated associations</w:t>
      </w:r>
      <w:r w:rsidR="00980F35">
        <w:rPr>
          <w:rFonts w:ascii="Adobe Garamond Pro" w:eastAsia="Times New Roman" w:hAnsi="Adobe Garamond Pro" w:cs="Times New Roman"/>
          <w:szCs w:val="24"/>
        </w:rPr>
        <w:t>, including LLCs, and have unanimously concluded that an LLC does not possess independent citizenship status but rather holds the citizenship of its members for purposes of diversity jurisdiction.</w:t>
      </w:r>
      <w:r w:rsidR="00D023D2">
        <w:rPr>
          <w:rStyle w:val="FootnoteReference"/>
          <w:rFonts w:ascii="Adobe Garamond Pro" w:eastAsia="Times New Roman" w:hAnsi="Adobe Garamond Pro" w:cs="Times New Roman"/>
          <w:szCs w:val="24"/>
        </w:rPr>
        <w:footnoteReference w:id="1"/>
      </w:r>
    </w:p>
    <w:p w:rsidR="00AD0070" w:rsidRPr="00AD0070" w:rsidRDefault="00AD0070" w:rsidP="00AD0070">
      <w:pPr>
        <w:widowControl w:val="0"/>
        <w:spacing w:after="0" w:line="239" w:lineRule="auto"/>
        <w:rPr>
          <w:rFonts w:ascii="Adobe Garamond Pro" w:eastAsia="Times New Roman" w:hAnsi="Adobe Garamond Pro" w:cs="Times New Roman"/>
          <w:b/>
          <w:szCs w:val="24"/>
        </w:rPr>
      </w:pPr>
    </w:p>
    <w:p w:rsidR="00AD0070" w:rsidRDefault="006B6686" w:rsidP="00AD0070">
      <w:pPr>
        <w:pStyle w:val="ListParagraph"/>
        <w:widowControl w:val="0"/>
        <w:numPr>
          <w:ilvl w:val="0"/>
          <w:numId w:val="5"/>
        </w:numPr>
        <w:spacing w:after="0" w:line="239" w:lineRule="auto"/>
        <w:rPr>
          <w:rFonts w:ascii="Adobe Garamond Pro" w:eastAsia="Times New Roman" w:hAnsi="Adobe Garamond Pro" w:cs="Times New Roman"/>
          <w:b/>
          <w:szCs w:val="24"/>
        </w:rPr>
      </w:pPr>
      <w:r>
        <w:rPr>
          <w:rFonts w:ascii="Adobe Garamond Pro" w:eastAsia="Times New Roman" w:hAnsi="Adobe Garamond Pro" w:cs="Times New Roman"/>
          <w:b/>
          <w:szCs w:val="24"/>
        </w:rPr>
        <w:t>Proper Procedure for Establishing Diversity J</w:t>
      </w:r>
      <w:r w:rsidR="00AD0070">
        <w:rPr>
          <w:rFonts w:ascii="Adobe Garamond Pro" w:eastAsia="Times New Roman" w:hAnsi="Adobe Garamond Pro" w:cs="Times New Roman"/>
          <w:b/>
          <w:szCs w:val="24"/>
        </w:rPr>
        <w:t>urisdiction</w:t>
      </w:r>
    </w:p>
    <w:p w:rsidR="00AD0070" w:rsidRPr="00000299" w:rsidRDefault="00AD0070" w:rsidP="002D65B5">
      <w:pPr>
        <w:widowControl w:val="0"/>
        <w:spacing w:after="0" w:line="239" w:lineRule="auto"/>
        <w:rPr>
          <w:rFonts w:ascii="Adobe Garamond Pro" w:eastAsia="Times New Roman" w:hAnsi="Adobe Garamond Pro" w:cs="Times New Roman"/>
          <w:szCs w:val="24"/>
        </w:rPr>
      </w:pPr>
    </w:p>
    <w:p w:rsidR="001E3F04" w:rsidRDefault="001342C3"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t xml:space="preserve">Where the members of an LLC </w:t>
      </w:r>
      <w:r w:rsidRPr="001342C3">
        <w:rPr>
          <w:rFonts w:ascii="Adobe Garamond Pro" w:eastAsia="Times New Roman" w:hAnsi="Adobe Garamond Pro" w:cs="Times New Roman"/>
          <w:szCs w:val="24"/>
        </w:rPr>
        <w:t>are, themselves, unincorporated associations (e.g., additional LLCs or limited partnerships), whose own members also may consist</w:t>
      </w:r>
      <w:r>
        <w:rPr>
          <w:rFonts w:ascii="Adobe Garamond Pro" w:eastAsia="Times New Roman" w:hAnsi="Adobe Garamond Pro" w:cs="Times New Roman"/>
          <w:szCs w:val="24"/>
        </w:rPr>
        <w:t xml:space="preserve"> of unincorporated associations, </w:t>
      </w:r>
      <w:r w:rsidRPr="001342C3">
        <w:rPr>
          <w:rFonts w:ascii="Adobe Garamond Pro" w:eastAsia="Times New Roman" w:hAnsi="Adobe Garamond Pro" w:cs="Times New Roman"/>
          <w:szCs w:val="24"/>
        </w:rPr>
        <w:t>the U.S. Court of Appeals for the Second Circuit has held that the citizenship of an LLC party is determined by a complete upstream analysis of its organizationa</w:t>
      </w:r>
      <w:r>
        <w:rPr>
          <w:rFonts w:ascii="Adobe Garamond Pro" w:eastAsia="Times New Roman" w:hAnsi="Adobe Garamond Pro" w:cs="Times New Roman"/>
          <w:szCs w:val="24"/>
        </w:rPr>
        <w:t>l structure.</w:t>
      </w:r>
      <w:r w:rsidR="001E3F04" w:rsidRPr="001E3F04">
        <w:rPr>
          <w:rFonts w:ascii="Adobe Garamond Pro" w:eastAsia="Times New Roman" w:hAnsi="Adobe Garamond Pro" w:cs="Times New Roman"/>
          <w:szCs w:val="24"/>
        </w:rPr>
        <w:t xml:space="preserve"> </w:t>
      </w:r>
    </w:p>
    <w:p w:rsidR="00D61EBE" w:rsidRPr="00D136B4" w:rsidRDefault="00D61EBE" w:rsidP="002D65B5">
      <w:pPr>
        <w:widowControl w:val="0"/>
        <w:spacing w:after="0" w:line="239" w:lineRule="auto"/>
        <w:rPr>
          <w:rFonts w:ascii="Adobe Garamond Pro" w:hAnsi="Adobe Garamond Pro" w:cs="Arial"/>
          <w:i/>
          <w:color w:val="000000"/>
          <w:szCs w:val="24"/>
          <w:shd w:val="clear" w:color="auto" w:fill="FFFFFF"/>
        </w:rPr>
      </w:pPr>
    </w:p>
    <w:p w:rsidR="00D136B4" w:rsidRDefault="00D61EBE" w:rsidP="00D136B4">
      <w:pPr>
        <w:widowControl w:val="0"/>
        <w:spacing w:after="0" w:line="239" w:lineRule="auto"/>
        <w:ind w:firstLine="720"/>
        <w:rPr>
          <w:rFonts w:ascii="Adobe Garamond Pro" w:hAnsi="Adobe Garamond Pro" w:cs="Arial"/>
          <w:color w:val="000000"/>
          <w:szCs w:val="24"/>
          <w:shd w:val="clear" w:color="auto" w:fill="FFFFFF"/>
        </w:rPr>
      </w:pPr>
      <w:r w:rsidRPr="00D136B4">
        <w:rPr>
          <w:rFonts w:ascii="Adobe Garamond Pro" w:hAnsi="Adobe Garamond Pro" w:cs="Arial"/>
          <w:color w:val="000000"/>
          <w:szCs w:val="24"/>
          <w:shd w:val="clear" w:color="auto" w:fill="FFFFFF"/>
        </w:rPr>
        <w:t xml:space="preserve">In other words, when an entity consists of multiple tiers of ownership and control, the entire structure must be considered for diversity purposes.  Where an entity is comprised of multiple layers </w:t>
      </w:r>
      <w:r w:rsidRPr="00D136B4">
        <w:rPr>
          <w:rFonts w:ascii="Adobe Garamond Pro" w:hAnsi="Adobe Garamond Pro" w:cs="Arial"/>
          <w:color w:val="000000"/>
          <w:szCs w:val="24"/>
          <w:shd w:val="clear" w:color="auto" w:fill="FFFFFF"/>
        </w:rPr>
        <w:lastRenderedPageBreak/>
        <w:t>of constituent entities, the citizenship determination requires an exploration of the citizenship of the constituent entities as far down as necessary to unravel fully the citizenship of the entity before the court</w:t>
      </w:r>
      <w:r w:rsidR="00481277" w:rsidRPr="00D136B4">
        <w:rPr>
          <w:rFonts w:ascii="Adobe Garamond Pro" w:hAnsi="Adobe Garamond Pro" w:cs="Arial"/>
          <w:color w:val="000000"/>
          <w:szCs w:val="24"/>
          <w:shd w:val="clear" w:color="auto" w:fill="FFFFFF"/>
        </w:rPr>
        <w:t>.</w:t>
      </w:r>
      <w:r w:rsidR="00D136B4" w:rsidRPr="00D136B4">
        <w:rPr>
          <w:rFonts w:ascii="Adobe Garamond Pro" w:hAnsi="Adobe Garamond Pro" w:cs="Arial"/>
          <w:color w:val="000000"/>
          <w:szCs w:val="24"/>
          <w:shd w:val="clear" w:color="auto" w:fill="FFFFFF"/>
        </w:rPr>
        <w:t xml:space="preserve">  </w:t>
      </w:r>
      <w:r w:rsidR="00481277" w:rsidRPr="00D136B4">
        <w:rPr>
          <w:rStyle w:val="Emphasis"/>
          <w:rFonts w:ascii="Adobe Garamond Pro" w:hAnsi="Adobe Garamond Pro" w:cs="Arial"/>
          <w:i w:val="0"/>
          <w:color w:val="000000"/>
          <w:szCs w:val="24"/>
          <w:u w:val="single"/>
          <w:shd w:val="clear" w:color="auto" w:fill="FFFFFF"/>
        </w:rPr>
        <w:t>Bayerische Landesbank, N.Y. Branch v. Aladdin Capital Management, LLC</w:t>
      </w:r>
      <w:r w:rsidR="00481277" w:rsidRPr="00D136B4">
        <w:rPr>
          <w:rFonts w:ascii="Adobe Garamond Pro" w:hAnsi="Adobe Garamond Pro" w:cs="Arial"/>
          <w:i/>
          <w:color w:val="000000"/>
          <w:szCs w:val="24"/>
          <w:shd w:val="clear" w:color="auto" w:fill="FFFFFF"/>
        </w:rPr>
        <w:t xml:space="preserve">, </w:t>
      </w:r>
      <w:r w:rsidR="00481277" w:rsidRPr="00AD0070">
        <w:rPr>
          <w:rFonts w:ascii="Adobe Garamond Pro" w:hAnsi="Adobe Garamond Pro" w:cs="Arial"/>
          <w:color w:val="000000"/>
          <w:szCs w:val="24"/>
          <w:shd w:val="clear" w:color="auto" w:fill="FFFFFF"/>
        </w:rPr>
        <w:t>692 F.3d 42, 49</w:t>
      </w:r>
      <w:r w:rsidR="00481277" w:rsidRPr="00D136B4">
        <w:rPr>
          <w:rFonts w:ascii="Adobe Garamond Pro" w:hAnsi="Adobe Garamond Pro" w:cs="Arial"/>
          <w:i/>
          <w:color w:val="000000"/>
          <w:szCs w:val="24"/>
          <w:shd w:val="clear" w:color="auto" w:fill="FFFFFF"/>
        </w:rPr>
        <w:t xml:space="preserve"> </w:t>
      </w:r>
      <w:r w:rsidR="00481277" w:rsidRPr="00AD0070">
        <w:rPr>
          <w:rFonts w:ascii="Adobe Garamond Pro" w:hAnsi="Adobe Garamond Pro" w:cs="Arial"/>
          <w:color w:val="000000"/>
          <w:szCs w:val="24"/>
          <w:shd w:val="clear" w:color="auto" w:fill="FFFFFF"/>
        </w:rPr>
        <w:t>(2d Cir. 2012).</w:t>
      </w:r>
    </w:p>
    <w:p w:rsidR="001A3AE2" w:rsidRDefault="001A3AE2" w:rsidP="00D136B4">
      <w:pPr>
        <w:widowControl w:val="0"/>
        <w:spacing w:after="0" w:line="239" w:lineRule="auto"/>
        <w:ind w:firstLine="720"/>
        <w:rPr>
          <w:rFonts w:ascii="Adobe Garamond Pro" w:hAnsi="Adobe Garamond Pro" w:cs="Arial"/>
          <w:color w:val="000000"/>
          <w:szCs w:val="24"/>
          <w:shd w:val="clear" w:color="auto" w:fill="FFFFFF"/>
        </w:rPr>
      </w:pPr>
    </w:p>
    <w:p w:rsidR="001D5223" w:rsidRPr="00D136B4" w:rsidRDefault="001D5223" w:rsidP="00D136B4">
      <w:pPr>
        <w:widowControl w:val="0"/>
        <w:spacing w:after="0" w:line="239" w:lineRule="auto"/>
        <w:ind w:firstLine="720"/>
        <w:rPr>
          <w:rFonts w:ascii="Adobe Garamond Pro" w:hAnsi="Adobe Garamond Pro" w:cs="Arial"/>
          <w:color w:val="000000"/>
          <w:szCs w:val="24"/>
          <w:shd w:val="clear" w:color="auto" w:fill="FFFFFF"/>
        </w:rPr>
      </w:pPr>
      <w:r w:rsidRPr="006B6686">
        <w:rPr>
          <w:rFonts w:ascii="Adobe Garamond Pro" w:hAnsi="Adobe Garamond Pro" w:cs="Arial"/>
          <w:color w:val="000000"/>
          <w:szCs w:val="24"/>
          <w:u w:val="single"/>
          <w:shd w:val="clear" w:color="auto" w:fill="FFFFFF"/>
        </w:rPr>
        <w:t>Bayerische</w:t>
      </w:r>
      <w:r w:rsidRPr="00D136B4">
        <w:rPr>
          <w:rFonts w:ascii="Adobe Garamond Pro" w:hAnsi="Adobe Garamond Pro" w:cs="Arial"/>
          <w:color w:val="000000"/>
          <w:szCs w:val="24"/>
          <w:shd w:val="clear" w:color="auto" w:fill="FFFFFF"/>
        </w:rPr>
        <w:t xml:space="preserve"> was a diversity action against </w:t>
      </w:r>
      <w:r w:rsidRPr="00D136B4">
        <w:rPr>
          <w:rFonts w:ascii="Adobe Garamond Pro" w:eastAsia="Times New Roman" w:hAnsi="Adobe Garamond Pro" w:cs="Times New Roman"/>
          <w:szCs w:val="24"/>
        </w:rPr>
        <w:t xml:space="preserve">Aladdin Capital Management LLC (“Aladdin”). 692 F.3d at 49. </w:t>
      </w:r>
      <w:r w:rsidR="00D136B4">
        <w:rPr>
          <w:rFonts w:ascii="Adobe Garamond Pro" w:eastAsia="Times New Roman" w:hAnsi="Adobe Garamond Pro" w:cs="Times New Roman"/>
          <w:szCs w:val="24"/>
        </w:rPr>
        <w:t xml:space="preserve"> </w:t>
      </w:r>
      <w:r w:rsidRPr="00D136B4">
        <w:rPr>
          <w:rFonts w:ascii="Adobe Garamond Pro" w:eastAsia="Times New Roman" w:hAnsi="Adobe Garamond Pro" w:cs="Times New Roman"/>
          <w:szCs w:val="24"/>
        </w:rPr>
        <w:t xml:space="preserve">Aladdin's sole member was Aladdin Capital Holdings LLC (“ACH”), whose membership consisted of one limited partnership, four U.S. citizens and five corporations. The Second Circuit determined that Aladdin possessed the citizenship of ACH, which possessed the citizenship of each of its 10 members, </w:t>
      </w:r>
      <w:r w:rsidR="00553D8E" w:rsidRPr="00D136B4">
        <w:rPr>
          <w:rFonts w:ascii="Adobe Garamond Pro" w:eastAsia="Times New Roman" w:hAnsi="Adobe Garamond Pro" w:cs="Times New Roman"/>
          <w:szCs w:val="24"/>
        </w:rPr>
        <w:t>declaring</w:t>
      </w:r>
      <w:r w:rsidRPr="00D136B4">
        <w:rPr>
          <w:rFonts w:ascii="Adobe Garamond Pro" w:eastAsia="Times New Roman" w:hAnsi="Adobe Garamond Pro" w:cs="Times New Roman"/>
          <w:szCs w:val="24"/>
        </w:rPr>
        <w:t>: “[D]efendant Aladdin is a citizen of the various states of the United States of which its member, ACH, is a citizen (t</w:t>
      </w:r>
      <w:r w:rsidR="00553D8E" w:rsidRPr="00D136B4">
        <w:rPr>
          <w:rFonts w:ascii="Adobe Garamond Pro" w:eastAsia="Times New Roman" w:hAnsi="Adobe Garamond Pro" w:cs="Times New Roman"/>
          <w:szCs w:val="24"/>
        </w:rPr>
        <w:t xml:space="preserve">hrough ACH's various members).” </w:t>
      </w:r>
      <w:r w:rsidR="00553D8E" w:rsidRPr="001A3AE2">
        <w:rPr>
          <w:rFonts w:ascii="Adobe Garamond Pro" w:eastAsia="Times New Roman" w:hAnsi="Adobe Garamond Pro" w:cs="Times New Roman"/>
          <w:szCs w:val="24"/>
          <w:u w:val="single"/>
        </w:rPr>
        <w:t>Id</w:t>
      </w:r>
      <w:r w:rsidR="00553D8E" w:rsidRPr="00D136B4">
        <w:rPr>
          <w:rFonts w:ascii="Adobe Garamond Pro" w:eastAsia="Times New Roman" w:hAnsi="Adobe Garamond Pro" w:cs="Times New Roman"/>
          <w:szCs w:val="24"/>
        </w:rPr>
        <w:t>. at 51.</w:t>
      </w:r>
    </w:p>
    <w:p w:rsidR="001D5223" w:rsidRDefault="001D5223" w:rsidP="002D65B5">
      <w:pPr>
        <w:widowControl w:val="0"/>
        <w:spacing w:after="0" w:line="239" w:lineRule="auto"/>
        <w:rPr>
          <w:rFonts w:ascii="Adobe Garamond Pro" w:eastAsia="Times New Roman" w:hAnsi="Adobe Garamond Pro" w:cs="Times New Roman"/>
          <w:szCs w:val="24"/>
        </w:rPr>
      </w:pPr>
    </w:p>
    <w:p w:rsidR="006A728C" w:rsidRDefault="00553D8E" w:rsidP="000178FF">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I</w:t>
      </w:r>
      <w:r w:rsidRPr="00553D8E">
        <w:rPr>
          <w:rFonts w:ascii="Adobe Garamond Pro" w:eastAsia="Times New Roman" w:hAnsi="Adobe Garamond Pro" w:cs="Times New Roman"/>
          <w:szCs w:val="24"/>
        </w:rPr>
        <w:t>n</w:t>
      </w:r>
      <w:r>
        <w:rPr>
          <w:rFonts w:ascii="Adobe Garamond Pro" w:eastAsia="Times New Roman" w:hAnsi="Adobe Garamond Pro" w:cs="Times New Roman"/>
          <w:szCs w:val="24"/>
        </w:rPr>
        <w:t xml:space="preserve"> </w:t>
      </w:r>
      <w:r w:rsidR="00091907">
        <w:rPr>
          <w:rFonts w:ascii="Adobe Garamond Pro" w:eastAsia="Times New Roman" w:hAnsi="Adobe Garamond Pro" w:cs="Times New Roman"/>
          <w:szCs w:val="24"/>
        </w:rPr>
        <w:t xml:space="preserve">a recent matter brought on the basis of diversity jurisdiction in the Southern District of New York, </w:t>
      </w:r>
      <w:r w:rsidRPr="00091907">
        <w:rPr>
          <w:rFonts w:ascii="Adobe Garamond Pro" w:eastAsia="Times New Roman" w:hAnsi="Adobe Garamond Pro" w:cs="Times New Roman"/>
          <w:szCs w:val="24"/>
          <w:u w:val="single"/>
        </w:rPr>
        <w:t>Quantlab Financial, LLC v. Tower Research Capital, LLC</w:t>
      </w:r>
      <w:r w:rsidRPr="00553D8E">
        <w:rPr>
          <w:rFonts w:ascii="Adobe Garamond Pro" w:eastAsia="Times New Roman" w:hAnsi="Adobe Garamond Pro" w:cs="Times New Roman"/>
          <w:szCs w:val="24"/>
        </w:rPr>
        <w:t xml:space="preserve">, </w:t>
      </w:r>
      <w:r w:rsidR="00FC50C2">
        <w:rPr>
          <w:rFonts w:ascii="Adobe Garamond Pro" w:eastAsia="Times New Roman" w:hAnsi="Adobe Garamond Pro" w:cs="Times New Roman"/>
          <w:szCs w:val="24"/>
        </w:rPr>
        <w:t xml:space="preserve">it was determined that the sole member of plaintiff Quantlab Financial, LLC (“QLF”) was also </w:t>
      </w:r>
      <w:r w:rsidRPr="00553D8E">
        <w:rPr>
          <w:rFonts w:ascii="Adobe Garamond Pro" w:eastAsia="Times New Roman" w:hAnsi="Adobe Garamond Pro" w:cs="Times New Roman"/>
          <w:szCs w:val="24"/>
        </w:rPr>
        <w:t xml:space="preserve">an LLC holding company, Quantlab Holdings, LLC (“QLH”). </w:t>
      </w:r>
      <w:r w:rsidR="006A728C">
        <w:rPr>
          <w:rFonts w:ascii="Adobe Garamond Pro" w:eastAsia="Times New Roman" w:hAnsi="Adobe Garamond Pro" w:cs="Times New Roman"/>
          <w:szCs w:val="24"/>
        </w:rPr>
        <w:t xml:space="preserve"> </w:t>
      </w:r>
      <w:r w:rsidR="006A728C" w:rsidRPr="006A728C">
        <w:rPr>
          <w:rFonts w:ascii="Adobe Garamond Pro" w:eastAsia="Times New Roman" w:hAnsi="Adobe Garamond Pro" w:cs="Times New Roman"/>
          <w:szCs w:val="24"/>
        </w:rPr>
        <w:t>715 F. Supp. 2d 542</w:t>
      </w:r>
      <w:r w:rsidR="006A728C">
        <w:rPr>
          <w:rFonts w:ascii="Adobe Garamond Pro" w:eastAsia="Times New Roman" w:hAnsi="Adobe Garamond Pro" w:cs="Times New Roman"/>
          <w:szCs w:val="24"/>
        </w:rPr>
        <w:t xml:space="preserve"> (2010).</w:t>
      </w:r>
    </w:p>
    <w:p w:rsidR="006A728C" w:rsidRDefault="006A728C" w:rsidP="00553D8E">
      <w:pPr>
        <w:widowControl w:val="0"/>
        <w:spacing w:after="0" w:line="239" w:lineRule="auto"/>
        <w:rPr>
          <w:rFonts w:ascii="Adobe Garamond Pro" w:eastAsia="Times New Roman" w:hAnsi="Adobe Garamond Pro" w:cs="Times New Roman"/>
          <w:szCs w:val="24"/>
        </w:rPr>
      </w:pPr>
    </w:p>
    <w:p w:rsidR="00553D8E" w:rsidRDefault="00553D8E" w:rsidP="000178FF">
      <w:pPr>
        <w:widowControl w:val="0"/>
        <w:spacing w:after="0" w:line="239" w:lineRule="auto"/>
        <w:ind w:firstLine="720"/>
        <w:rPr>
          <w:rFonts w:ascii="Adobe Garamond Pro" w:eastAsia="Times New Roman" w:hAnsi="Adobe Garamond Pro" w:cs="Times New Roman"/>
          <w:szCs w:val="24"/>
        </w:rPr>
      </w:pPr>
      <w:r w:rsidRPr="00553D8E">
        <w:rPr>
          <w:rFonts w:ascii="Adobe Garamond Pro" w:eastAsia="Times New Roman" w:hAnsi="Adobe Garamond Pro" w:cs="Times New Roman"/>
          <w:szCs w:val="24"/>
        </w:rPr>
        <w:t xml:space="preserve">Applying the same upstream analysis, the Southern District of New York stated that QLF's citizenship “depends on the citizenship of its sole member, [QLH], and, in turn, on the citizenship of [QLH's] members.” </w:t>
      </w:r>
      <w:r w:rsidR="00D136B4">
        <w:rPr>
          <w:rFonts w:ascii="Adobe Garamond Pro" w:eastAsia="Times New Roman" w:hAnsi="Adobe Garamond Pro" w:cs="Times New Roman"/>
          <w:szCs w:val="24"/>
        </w:rPr>
        <w:t xml:space="preserve"> </w:t>
      </w:r>
      <w:r w:rsidRPr="00553D8E">
        <w:rPr>
          <w:rFonts w:ascii="Adobe Garamond Pro" w:eastAsia="Times New Roman" w:hAnsi="Adobe Garamond Pro" w:cs="Times New Roman"/>
          <w:szCs w:val="24"/>
        </w:rPr>
        <w:t xml:space="preserve">In determining the citizenship of QLH's members, and thus the citizenship of QLF, the court evaluated the citizenship of </w:t>
      </w:r>
      <w:r w:rsidR="006A728C">
        <w:rPr>
          <w:rFonts w:ascii="Adobe Garamond Pro" w:eastAsia="Times New Roman" w:hAnsi="Adobe Garamond Pro" w:cs="Times New Roman"/>
          <w:szCs w:val="24"/>
        </w:rPr>
        <w:t>ten (</w:t>
      </w:r>
      <w:r w:rsidRPr="00553D8E">
        <w:rPr>
          <w:rFonts w:ascii="Adobe Garamond Pro" w:eastAsia="Times New Roman" w:hAnsi="Adobe Garamond Pro" w:cs="Times New Roman"/>
          <w:szCs w:val="24"/>
        </w:rPr>
        <w:t>10</w:t>
      </w:r>
      <w:r w:rsidR="006A728C">
        <w:rPr>
          <w:rFonts w:ascii="Adobe Garamond Pro" w:eastAsia="Times New Roman" w:hAnsi="Adobe Garamond Pro" w:cs="Times New Roman"/>
          <w:szCs w:val="24"/>
        </w:rPr>
        <w:t>)</w:t>
      </w:r>
      <w:r w:rsidRPr="00553D8E">
        <w:rPr>
          <w:rFonts w:ascii="Adobe Garamond Pro" w:eastAsia="Times New Roman" w:hAnsi="Adobe Garamond Pro" w:cs="Times New Roman"/>
          <w:szCs w:val="24"/>
        </w:rPr>
        <w:t xml:space="preserve"> layers of QLF's organizational hierarchy, ultimately finding that the par</w:t>
      </w:r>
      <w:r w:rsidR="00082A41">
        <w:rPr>
          <w:rFonts w:ascii="Adobe Garamond Pro" w:eastAsia="Times New Roman" w:hAnsi="Adobe Garamond Pro" w:cs="Times New Roman"/>
          <w:szCs w:val="24"/>
        </w:rPr>
        <w:t xml:space="preserve">ties lacked complete diversity. </w:t>
      </w:r>
      <w:r w:rsidR="00AD0070">
        <w:rPr>
          <w:rFonts w:ascii="Adobe Garamond Pro" w:eastAsia="Times New Roman" w:hAnsi="Adobe Garamond Pro" w:cs="Times New Roman"/>
          <w:szCs w:val="24"/>
        </w:rPr>
        <w:t xml:space="preserve"> </w:t>
      </w:r>
      <w:r w:rsidR="00082A41" w:rsidRPr="00AD0070">
        <w:rPr>
          <w:rFonts w:ascii="Adobe Garamond Pro" w:eastAsia="Times New Roman" w:hAnsi="Adobe Garamond Pro" w:cs="Times New Roman"/>
          <w:szCs w:val="24"/>
          <w:u w:val="single"/>
        </w:rPr>
        <w:t>Id</w:t>
      </w:r>
      <w:r w:rsidR="00082A41" w:rsidRPr="00082A41">
        <w:rPr>
          <w:rFonts w:ascii="Adobe Garamond Pro" w:eastAsia="Times New Roman" w:hAnsi="Adobe Garamond Pro" w:cs="Times New Roman"/>
          <w:szCs w:val="24"/>
        </w:rPr>
        <w:t>. at 546, 549.</w:t>
      </w:r>
    </w:p>
    <w:p w:rsidR="00D61EBE" w:rsidRDefault="00D61EBE" w:rsidP="00553D8E">
      <w:pPr>
        <w:widowControl w:val="0"/>
        <w:spacing w:after="0" w:line="239" w:lineRule="auto"/>
        <w:rPr>
          <w:rFonts w:ascii="Adobe Garamond Pro" w:eastAsia="Times New Roman" w:hAnsi="Adobe Garamond Pro" w:cs="Times New Roman"/>
          <w:szCs w:val="24"/>
        </w:rPr>
      </w:pPr>
    </w:p>
    <w:p w:rsidR="00AD0070" w:rsidRDefault="00AD0070" w:rsidP="00AD0070">
      <w:pPr>
        <w:pStyle w:val="ListParagraph"/>
        <w:widowControl w:val="0"/>
        <w:numPr>
          <w:ilvl w:val="0"/>
          <w:numId w:val="5"/>
        </w:numPr>
        <w:spacing w:after="0" w:line="239" w:lineRule="auto"/>
        <w:rPr>
          <w:rFonts w:ascii="Adobe Garamond Pro" w:eastAsia="Times New Roman" w:hAnsi="Adobe Garamond Pro" w:cs="Times New Roman"/>
          <w:b/>
          <w:szCs w:val="24"/>
        </w:rPr>
      </w:pPr>
      <w:r>
        <w:rPr>
          <w:rFonts w:ascii="Adobe Garamond Pro" w:eastAsia="Times New Roman" w:hAnsi="Adobe Garamond Pro" w:cs="Times New Roman"/>
          <w:b/>
          <w:szCs w:val="24"/>
        </w:rPr>
        <w:t>Attempts by Counsel for Defendant Kaushik to Ascertain Membership Information of Plaintiff BSI Mortgage IV LLC</w:t>
      </w:r>
    </w:p>
    <w:p w:rsidR="00AD0070" w:rsidRDefault="00AD0070" w:rsidP="00AD0070">
      <w:pPr>
        <w:pStyle w:val="ListParagraph"/>
        <w:widowControl w:val="0"/>
        <w:spacing w:after="0" w:line="239" w:lineRule="auto"/>
        <w:ind w:left="1440"/>
        <w:rPr>
          <w:rFonts w:ascii="Adobe Garamond Pro" w:eastAsia="Times New Roman" w:hAnsi="Adobe Garamond Pro" w:cs="Times New Roman"/>
          <w:b/>
          <w:szCs w:val="24"/>
        </w:rPr>
      </w:pPr>
    </w:p>
    <w:p w:rsidR="00AD0070" w:rsidRDefault="00AD0070" w:rsidP="00AD0070">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On the date of the pre-motion conference, May 28, 2014, and prior to meeting with Your Honor, your undersigned inquired of counsel for BSI as to BSI’s membership information.  Opposing counsel responded that he could not disclose this information.</w:t>
      </w:r>
    </w:p>
    <w:p w:rsidR="00AD0070" w:rsidRDefault="00AD0070" w:rsidP="00AD0070">
      <w:pPr>
        <w:widowControl w:val="0"/>
        <w:spacing w:after="0" w:line="239" w:lineRule="auto"/>
        <w:rPr>
          <w:rFonts w:ascii="Adobe Garamond Pro" w:eastAsia="Times New Roman" w:hAnsi="Adobe Garamond Pro" w:cs="Times New Roman"/>
          <w:szCs w:val="24"/>
        </w:rPr>
      </w:pPr>
    </w:p>
    <w:p w:rsidR="00AD0070" w:rsidRDefault="00C8708E" w:rsidP="00AD0070">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When counsel for the</w:t>
      </w:r>
      <w:r w:rsidR="00AD0070">
        <w:rPr>
          <w:rFonts w:ascii="Adobe Garamond Pro" w:eastAsia="Times New Roman" w:hAnsi="Adobe Garamond Pro" w:cs="Times New Roman"/>
          <w:szCs w:val="24"/>
        </w:rPr>
        <w:t xml:space="preserve"> parties appeared </w:t>
      </w:r>
      <w:r w:rsidR="00AD0070">
        <w:rPr>
          <w:rFonts w:ascii="Adobe Garamond Pro" w:eastAsia="Times New Roman" w:hAnsi="Adobe Garamond Pro" w:cs="Times New Roman"/>
          <w:i/>
          <w:szCs w:val="24"/>
        </w:rPr>
        <w:t xml:space="preserve">in </w:t>
      </w:r>
      <w:r w:rsidR="00AD0070" w:rsidRPr="00D136B4">
        <w:rPr>
          <w:rFonts w:ascii="Adobe Garamond Pro" w:eastAsia="Times New Roman" w:hAnsi="Adobe Garamond Pro" w:cs="Times New Roman"/>
          <w:i/>
          <w:szCs w:val="24"/>
        </w:rPr>
        <w:t>camera</w:t>
      </w:r>
      <w:r w:rsidR="00AD0070">
        <w:rPr>
          <w:rFonts w:ascii="Adobe Garamond Pro" w:eastAsia="Times New Roman" w:hAnsi="Adobe Garamond Pro" w:cs="Times New Roman"/>
          <w:szCs w:val="24"/>
        </w:rPr>
        <w:t xml:space="preserve"> </w:t>
      </w:r>
      <w:r w:rsidR="00AD0070" w:rsidRPr="00D136B4">
        <w:rPr>
          <w:rFonts w:ascii="Adobe Garamond Pro" w:eastAsia="Times New Roman" w:hAnsi="Adobe Garamond Pro" w:cs="Times New Roman"/>
          <w:szCs w:val="24"/>
        </w:rPr>
        <w:t>before</w:t>
      </w:r>
      <w:r w:rsidR="00AD0070">
        <w:rPr>
          <w:rFonts w:ascii="Adobe Garamond Pro" w:eastAsia="Times New Roman" w:hAnsi="Adobe Garamond Pro" w:cs="Times New Roman"/>
          <w:szCs w:val="24"/>
        </w:rPr>
        <w:t xml:space="preserve"> Your Honor on May 28, 2014, your undersigned raised the issue of the membership information of Plaintiff BSI.  At the conclusion of the pre-motion conference, counsel for BSI and myself informed Your Honor that the parties wo</w:t>
      </w:r>
      <w:r w:rsidR="00261EFA">
        <w:rPr>
          <w:rFonts w:ascii="Adobe Garamond Pro" w:eastAsia="Times New Roman" w:hAnsi="Adobe Garamond Pro" w:cs="Times New Roman"/>
          <w:szCs w:val="24"/>
        </w:rPr>
        <w:t>uld shortly thereafter confer</w:t>
      </w:r>
      <w:r w:rsidR="00AD0070">
        <w:rPr>
          <w:rFonts w:ascii="Adobe Garamond Pro" w:eastAsia="Times New Roman" w:hAnsi="Adobe Garamond Pro" w:cs="Times New Roman"/>
          <w:szCs w:val="24"/>
        </w:rPr>
        <w:t xml:space="preserve"> to determine whether a resolution of </w:t>
      </w:r>
      <w:r w:rsidR="00261EFA">
        <w:rPr>
          <w:rFonts w:ascii="Adobe Garamond Pro" w:eastAsia="Times New Roman" w:hAnsi="Adobe Garamond Pro" w:cs="Times New Roman"/>
          <w:szCs w:val="24"/>
        </w:rPr>
        <w:t xml:space="preserve">this matter could be achieved.  </w:t>
      </w:r>
      <w:r w:rsidR="00AD0070">
        <w:rPr>
          <w:rFonts w:ascii="Adobe Garamond Pro" w:eastAsia="Times New Roman" w:hAnsi="Adobe Garamond Pro" w:cs="Times New Roman"/>
          <w:szCs w:val="24"/>
        </w:rPr>
        <w:t xml:space="preserve">Counsel for the parties thereafter communicated via email to coordinate such a meeting.  </w:t>
      </w:r>
    </w:p>
    <w:p w:rsidR="00AD0070" w:rsidRDefault="00AD0070" w:rsidP="00AD0070">
      <w:pPr>
        <w:widowControl w:val="0"/>
        <w:spacing w:after="0" w:line="239" w:lineRule="auto"/>
        <w:rPr>
          <w:rFonts w:ascii="Adobe Garamond Pro" w:eastAsia="Times New Roman" w:hAnsi="Adobe Garamond Pro" w:cs="Times New Roman"/>
          <w:szCs w:val="24"/>
        </w:rPr>
      </w:pPr>
    </w:p>
    <w:p w:rsidR="00AD0070" w:rsidRDefault="00AD0070" w:rsidP="00AD0070">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t xml:space="preserve">On May 30, 2014, this office electronically transmitted a letter to counsel for BSI relating to the scheduling of the aforementioned meeting and requested that prior to said meeting, opposing counsel provide this office with “basic information about the entity which has brought this action,” including “the legally authorized party(ies) that control its decision-making.”  See Exhibit 1, annexed hereto.  </w:t>
      </w:r>
    </w:p>
    <w:p w:rsidR="00AD0070" w:rsidRDefault="00AD0070" w:rsidP="00AD0070">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lastRenderedPageBreak/>
        <w:t>In this letter, this office also requested clarification of the status of one Mr. Elon Lebovitch a/k/a Allen Lebo, who would be attending the meeting and his relationship to Plaintiff BSI.  In an effort to achieve judicial economy with respect to the limited resources of this Court, while demonstrating professional courtesy and comity, this office proceeded with the meeting on June 9, 2014</w:t>
      </w:r>
      <w:r w:rsidR="00C8708E">
        <w:rPr>
          <w:rFonts w:ascii="Adobe Garamond Pro" w:eastAsia="Times New Roman" w:hAnsi="Adobe Garamond Pro" w:cs="Times New Roman"/>
          <w:szCs w:val="24"/>
        </w:rPr>
        <w:t>, where Defendant Kaushik was present</w:t>
      </w:r>
      <w:r>
        <w:rPr>
          <w:rFonts w:ascii="Adobe Garamond Pro" w:eastAsia="Times New Roman" w:hAnsi="Adobe Garamond Pro" w:cs="Times New Roman"/>
          <w:szCs w:val="24"/>
        </w:rPr>
        <w:t>.</w:t>
      </w:r>
      <w:r w:rsidR="00C8708E">
        <w:rPr>
          <w:rFonts w:ascii="Adobe Garamond Pro" w:eastAsia="Times New Roman" w:hAnsi="Adobe Garamond Pro" w:cs="Times New Roman"/>
          <w:szCs w:val="24"/>
        </w:rPr>
        <w:t xml:space="preserve">  </w:t>
      </w:r>
      <w:r>
        <w:rPr>
          <w:rFonts w:ascii="Adobe Garamond Pro" w:eastAsia="Times New Roman" w:hAnsi="Adobe Garamond Pro" w:cs="Times New Roman"/>
          <w:szCs w:val="24"/>
        </w:rPr>
        <w:t>This was done without having been provided with the identity information of Plaintiff BSI.</w:t>
      </w:r>
    </w:p>
    <w:p w:rsidR="00AD0070" w:rsidRDefault="00AD0070" w:rsidP="00AD0070">
      <w:pPr>
        <w:widowControl w:val="0"/>
        <w:spacing w:after="0" w:line="239" w:lineRule="auto"/>
        <w:rPr>
          <w:rFonts w:ascii="Adobe Garamond Pro" w:eastAsia="Times New Roman" w:hAnsi="Adobe Garamond Pro" w:cs="Times New Roman"/>
          <w:szCs w:val="24"/>
        </w:rPr>
      </w:pPr>
    </w:p>
    <w:p w:rsidR="00AD0070" w:rsidRDefault="00AD0070" w:rsidP="00AD0070">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 xml:space="preserve">In the interim, </w:t>
      </w:r>
      <w:r w:rsidR="00261EFA">
        <w:rPr>
          <w:rFonts w:ascii="Adobe Garamond Pro" w:eastAsia="Times New Roman" w:hAnsi="Adobe Garamond Pro" w:cs="Times New Roman"/>
          <w:szCs w:val="24"/>
        </w:rPr>
        <w:t xml:space="preserve">neither this Court nor </w:t>
      </w:r>
      <w:r>
        <w:rPr>
          <w:rFonts w:ascii="Adobe Garamond Pro" w:eastAsia="Times New Roman" w:hAnsi="Adobe Garamond Pro" w:cs="Times New Roman"/>
          <w:szCs w:val="24"/>
        </w:rPr>
        <w:t>this office has not received a full and complete accounting of the membership of Plaintiff.  Therefore, any foray into motion practice must be moot since proper jurisdiction has yet to be established by Plaintiff, who has invoked subject matter jurisdiction and therefore bears the burden of proof in establishing said jurisdiction before this Court.  “</w:t>
      </w:r>
      <w:r w:rsidRPr="00C415D4">
        <w:rPr>
          <w:rFonts w:ascii="Adobe Garamond Pro" w:eastAsia="Times New Roman" w:hAnsi="Adobe Garamond Pro" w:cs="Times New Roman"/>
          <w:szCs w:val="24"/>
        </w:rPr>
        <w:t>A court lacks discretion to consider the merits of a case over which it is without jurisdiction</w:t>
      </w:r>
      <w:r w:rsidR="006B6686">
        <w:rPr>
          <w:rFonts w:ascii="Adobe Garamond Pro" w:eastAsia="Times New Roman" w:hAnsi="Adobe Garamond Pro" w:cs="Times New Roman"/>
          <w:szCs w:val="24"/>
        </w:rPr>
        <w:t>."</w:t>
      </w:r>
      <w:r w:rsidRPr="00C415D4">
        <w:rPr>
          <w:rFonts w:ascii="Adobe Garamond Pro" w:eastAsia="Times New Roman" w:hAnsi="Adobe Garamond Pro" w:cs="Times New Roman"/>
          <w:szCs w:val="24"/>
        </w:rPr>
        <w:t xml:space="preserve"> </w:t>
      </w:r>
      <w:r w:rsidRPr="00235C27">
        <w:rPr>
          <w:rFonts w:ascii="Adobe Garamond Pro" w:eastAsia="Times New Roman" w:hAnsi="Adobe Garamond Pro" w:cs="Times New Roman"/>
          <w:szCs w:val="24"/>
          <w:u w:val="single"/>
        </w:rPr>
        <w:t>Firestone Tire &amp; Rubber Co. v. Risjord</w:t>
      </w:r>
      <w:r w:rsidRPr="00C415D4">
        <w:rPr>
          <w:rFonts w:ascii="Adobe Garamond Pro" w:eastAsia="Times New Roman" w:hAnsi="Adobe Garamond Pro" w:cs="Times New Roman"/>
          <w:szCs w:val="24"/>
        </w:rPr>
        <w:t>, 449 U.S. 368, 379, 101 S.Ct. 669, 66 L.Ed.2d 571 (1981).</w:t>
      </w:r>
    </w:p>
    <w:p w:rsidR="00AD0070" w:rsidRPr="00AD0070" w:rsidRDefault="00AD0070" w:rsidP="00AD0070">
      <w:pPr>
        <w:widowControl w:val="0"/>
        <w:spacing w:after="0" w:line="239" w:lineRule="auto"/>
        <w:rPr>
          <w:rFonts w:ascii="Adobe Garamond Pro" w:eastAsia="Times New Roman" w:hAnsi="Adobe Garamond Pro" w:cs="Times New Roman"/>
          <w:b/>
          <w:szCs w:val="24"/>
        </w:rPr>
      </w:pPr>
    </w:p>
    <w:p w:rsidR="007B3AA1" w:rsidRPr="00AD0070" w:rsidRDefault="007B3AA1" w:rsidP="007B3AA1">
      <w:pPr>
        <w:pStyle w:val="ListParagraph"/>
        <w:widowControl w:val="0"/>
        <w:numPr>
          <w:ilvl w:val="0"/>
          <w:numId w:val="5"/>
        </w:numPr>
        <w:spacing w:after="0" w:line="239" w:lineRule="auto"/>
        <w:rPr>
          <w:rFonts w:ascii="Adobe Garamond Pro" w:eastAsia="Times New Roman" w:hAnsi="Adobe Garamond Pro" w:cs="Times New Roman"/>
          <w:b/>
          <w:szCs w:val="24"/>
        </w:rPr>
      </w:pPr>
      <w:r>
        <w:rPr>
          <w:rFonts w:ascii="Adobe Garamond Pro" w:eastAsia="Times New Roman" w:hAnsi="Adobe Garamond Pro" w:cs="Times New Roman"/>
          <w:b/>
          <w:szCs w:val="24"/>
        </w:rPr>
        <w:t>Privacy Concerns</w:t>
      </w:r>
    </w:p>
    <w:p w:rsidR="00E31777" w:rsidRDefault="004A1208" w:rsidP="00D136B4">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r>
    </w:p>
    <w:p w:rsidR="006B146D" w:rsidRDefault="00FB3C65" w:rsidP="006B146D">
      <w:pPr>
        <w:widowControl w:val="0"/>
        <w:spacing w:after="0" w:line="239" w:lineRule="auto"/>
        <w:ind w:firstLine="720"/>
        <w:rPr>
          <w:rFonts w:ascii="Adobe Garamond Pro" w:eastAsia="Times New Roman" w:hAnsi="Adobe Garamond Pro" w:cs="Times New Roman"/>
          <w:szCs w:val="24"/>
        </w:rPr>
      </w:pPr>
      <w:r w:rsidRPr="00FB3C65">
        <w:rPr>
          <w:rFonts w:ascii="Adobe Garamond Pro" w:eastAsia="Times New Roman" w:hAnsi="Adobe Garamond Pro" w:cs="Times New Roman"/>
          <w:szCs w:val="24"/>
        </w:rPr>
        <w:t>While various state legislat</w:t>
      </w:r>
      <w:r>
        <w:rPr>
          <w:rFonts w:ascii="Adobe Garamond Pro" w:eastAsia="Times New Roman" w:hAnsi="Adobe Garamond Pro" w:cs="Times New Roman"/>
          <w:szCs w:val="24"/>
        </w:rPr>
        <w:t xml:space="preserve">ures have decided to permit the </w:t>
      </w:r>
      <w:r w:rsidRPr="00FB3C65">
        <w:rPr>
          <w:rFonts w:ascii="Adobe Garamond Pro" w:eastAsia="Times New Roman" w:hAnsi="Adobe Garamond Pro" w:cs="Times New Roman"/>
          <w:szCs w:val="24"/>
        </w:rPr>
        <w:t>members of LLCs to remain anonymous to the pu</w:t>
      </w:r>
      <w:r>
        <w:rPr>
          <w:rFonts w:ascii="Adobe Garamond Pro" w:eastAsia="Times New Roman" w:hAnsi="Adobe Garamond Pro" w:cs="Times New Roman"/>
          <w:szCs w:val="24"/>
        </w:rPr>
        <w:t xml:space="preserve">blic at large, Congress has not </w:t>
      </w:r>
      <w:r w:rsidRPr="00FB3C65">
        <w:rPr>
          <w:rFonts w:ascii="Adobe Garamond Pro" w:eastAsia="Times New Roman" w:hAnsi="Adobe Garamond Pro" w:cs="Times New Roman"/>
          <w:szCs w:val="24"/>
        </w:rPr>
        <w:t>created an exception to the requirements of diversity jur</w:t>
      </w:r>
      <w:r>
        <w:rPr>
          <w:rFonts w:ascii="Adobe Garamond Pro" w:eastAsia="Times New Roman" w:hAnsi="Adobe Garamond Pro" w:cs="Times New Roman"/>
          <w:szCs w:val="24"/>
        </w:rPr>
        <w:t xml:space="preserve">isdiction which would allow the </w:t>
      </w:r>
      <w:r w:rsidRPr="00FB3C65">
        <w:rPr>
          <w:rFonts w:ascii="Adobe Garamond Pro" w:eastAsia="Times New Roman" w:hAnsi="Adobe Garamond Pro" w:cs="Times New Roman"/>
          <w:szCs w:val="24"/>
        </w:rPr>
        <w:t>members of LLCs to remain anonymous in fede</w:t>
      </w:r>
      <w:r>
        <w:rPr>
          <w:rFonts w:ascii="Adobe Garamond Pro" w:eastAsia="Times New Roman" w:hAnsi="Adobe Garamond Pro" w:cs="Times New Roman"/>
          <w:szCs w:val="24"/>
        </w:rPr>
        <w:t xml:space="preserve">ral court. </w:t>
      </w:r>
      <w:r w:rsidR="006B146D">
        <w:rPr>
          <w:rFonts w:ascii="Adobe Garamond Pro" w:eastAsia="Times New Roman" w:hAnsi="Adobe Garamond Pro" w:cs="Times New Roman"/>
          <w:szCs w:val="24"/>
        </w:rPr>
        <w:t xml:space="preserve"> </w:t>
      </w:r>
      <w:r w:rsidRPr="006B146D">
        <w:rPr>
          <w:rFonts w:ascii="Adobe Garamond Pro" w:eastAsia="Times New Roman" w:hAnsi="Adobe Garamond Pro" w:cs="Times New Roman"/>
          <w:szCs w:val="24"/>
          <w:u w:val="single"/>
        </w:rPr>
        <w:t>See</w:t>
      </w:r>
      <w:r>
        <w:rPr>
          <w:rFonts w:ascii="Adobe Garamond Pro" w:eastAsia="Times New Roman" w:hAnsi="Adobe Garamond Pro" w:cs="Times New Roman"/>
          <w:szCs w:val="24"/>
        </w:rPr>
        <w:t xml:space="preserve"> </w:t>
      </w:r>
      <w:r w:rsidRPr="006B146D">
        <w:rPr>
          <w:rFonts w:ascii="Adobe Garamond Pro" w:eastAsia="Times New Roman" w:hAnsi="Adobe Garamond Pro" w:cs="Times New Roman"/>
          <w:szCs w:val="24"/>
          <w:u w:val="single"/>
        </w:rPr>
        <w:t>Carden</w:t>
      </w:r>
      <w:r w:rsidRPr="00FB3C65">
        <w:rPr>
          <w:rFonts w:ascii="Adobe Garamond Pro" w:eastAsia="Times New Roman" w:hAnsi="Adobe Garamond Pro" w:cs="Times New Roman"/>
          <w:szCs w:val="24"/>
        </w:rPr>
        <w:t>, 494 U.S. 185, 196 (1990) (in discussing the citizenship of non-corporate</w:t>
      </w:r>
      <w:r w:rsidR="006B146D">
        <w:rPr>
          <w:rFonts w:ascii="Adobe Garamond Pro" w:eastAsia="Times New Roman" w:hAnsi="Adobe Garamond Pro" w:cs="Times New Roman"/>
          <w:szCs w:val="24"/>
        </w:rPr>
        <w:t xml:space="preserve"> </w:t>
      </w:r>
      <w:r w:rsidRPr="00FB3C65">
        <w:rPr>
          <w:rFonts w:ascii="Adobe Garamond Pro" w:eastAsia="Times New Roman" w:hAnsi="Adobe Garamond Pro" w:cs="Times New Roman"/>
          <w:szCs w:val="24"/>
        </w:rPr>
        <w:t xml:space="preserve">artificial entities for diversity purposes, the Court noted </w:t>
      </w:r>
      <w:r>
        <w:rPr>
          <w:rFonts w:ascii="Adobe Garamond Pro" w:eastAsia="Times New Roman" w:hAnsi="Adobe Garamond Pro" w:cs="Times New Roman"/>
          <w:szCs w:val="24"/>
        </w:rPr>
        <w:t xml:space="preserve">that “[t]he resolutions we have </w:t>
      </w:r>
      <w:r w:rsidRPr="00FB3C65">
        <w:rPr>
          <w:rFonts w:ascii="Adobe Garamond Pro" w:eastAsia="Times New Roman" w:hAnsi="Adobe Garamond Pro" w:cs="Times New Roman"/>
          <w:szCs w:val="24"/>
        </w:rPr>
        <w:t xml:space="preserve">reached . . . can validly be characterized as </w:t>
      </w:r>
      <w:r>
        <w:rPr>
          <w:rFonts w:ascii="Adobe Garamond Pro" w:eastAsia="Times New Roman" w:hAnsi="Adobe Garamond Pro" w:cs="Times New Roman"/>
          <w:szCs w:val="24"/>
        </w:rPr>
        <w:t xml:space="preserve">technical, precedent-bound, and </w:t>
      </w:r>
      <w:r w:rsidRPr="00FB3C65">
        <w:rPr>
          <w:rFonts w:ascii="Adobe Garamond Pro" w:eastAsia="Times New Roman" w:hAnsi="Adobe Garamond Pro" w:cs="Times New Roman"/>
          <w:szCs w:val="24"/>
        </w:rPr>
        <w:t>unresponsive to policy considerations raised by the</w:t>
      </w:r>
      <w:r>
        <w:rPr>
          <w:rFonts w:ascii="Adobe Garamond Pro" w:eastAsia="Times New Roman" w:hAnsi="Adobe Garamond Pro" w:cs="Times New Roman"/>
          <w:szCs w:val="24"/>
        </w:rPr>
        <w:t xml:space="preserve"> changing realities of business </w:t>
      </w:r>
      <w:r w:rsidRPr="00FB3C65">
        <w:rPr>
          <w:rFonts w:ascii="Adobe Garamond Pro" w:eastAsia="Times New Roman" w:hAnsi="Adobe Garamond Pro" w:cs="Times New Roman"/>
          <w:szCs w:val="24"/>
        </w:rPr>
        <w:t xml:space="preserve">organization.”). </w:t>
      </w:r>
    </w:p>
    <w:p w:rsidR="006B146D" w:rsidRDefault="006B146D" w:rsidP="006B146D">
      <w:pPr>
        <w:widowControl w:val="0"/>
        <w:spacing w:after="0" w:line="239" w:lineRule="auto"/>
        <w:ind w:firstLine="720"/>
        <w:rPr>
          <w:rFonts w:ascii="Adobe Garamond Pro" w:eastAsia="Times New Roman" w:hAnsi="Adobe Garamond Pro" w:cs="Times New Roman"/>
          <w:szCs w:val="24"/>
        </w:rPr>
      </w:pPr>
    </w:p>
    <w:p w:rsidR="006B146D" w:rsidRDefault="00FB3C65" w:rsidP="006B146D">
      <w:pPr>
        <w:widowControl w:val="0"/>
        <w:spacing w:after="0" w:line="239" w:lineRule="auto"/>
        <w:ind w:firstLine="720"/>
        <w:rPr>
          <w:rFonts w:ascii="Adobe Garamond Pro" w:eastAsia="Times New Roman" w:hAnsi="Adobe Garamond Pro" w:cs="Times New Roman"/>
          <w:szCs w:val="24"/>
        </w:rPr>
      </w:pPr>
      <w:r w:rsidRPr="00FB3C65">
        <w:rPr>
          <w:rFonts w:ascii="Adobe Garamond Pro" w:eastAsia="Times New Roman" w:hAnsi="Adobe Garamond Pro" w:cs="Times New Roman"/>
          <w:szCs w:val="24"/>
        </w:rPr>
        <w:t>Ultimately, the limitations that Congres</w:t>
      </w:r>
      <w:r>
        <w:rPr>
          <w:rFonts w:ascii="Adobe Garamond Pro" w:eastAsia="Times New Roman" w:hAnsi="Adobe Garamond Pro" w:cs="Times New Roman"/>
          <w:szCs w:val="24"/>
        </w:rPr>
        <w:t xml:space="preserve">s has placed on federal courts’ </w:t>
      </w:r>
      <w:r w:rsidRPr="00FB3C65">
        <w:rPr>
          <w:rFonts w:ascii="Adobe Garamond Pro" w:eastAsia="Times New Roman" w:hAnsi="Adobe Garamond Pro" w:cs="Times New Roman"/>
          <w:szCs w:val="24"/>
        </w:rPr>
        <w:t>diversity-based jurisdiction require certain LLCs to d</w:t>
      </w:r>
      <w:r>
        <w:rPr>
          <w:rFonts w:ascii="Adobe Garamond Pro" w:eastAsia="Times New Roman" w:hAnsi="Adobe Garamond Pro" w:cs="Times New Roman"/>
          <w:szCs w:val="24"/>
        </w:rPr>
        <w:t xml:space="preserve">ecide between maintaining their </w:t>
      </w:r>
      <w:r w:rsidRPr="00FB3C65">
        <w:rPr>
          <w:rFonts w:ascii="Adobe Garamond Pro" w:eastAsia="Times New Roman" w:hAnsi="Adobe Garamond Pro" w:cs="Times New Roman"/>
          <w:szCs w:val="24"/>
        </w:rPr>
        <w:t>members’ anonymity and having their cases heard in federal court</w:t>
      </w:r>
      <w:r w:rsidR="00890422">
        <w:rPr>
          <w:rFonts w:ascii="Adobe Garamond Pro" w:eastAsia="Times New Roman" w:hAnsi="Adobe Garamond Pro" w:cs="Times New Roman"/>
          <w:szCs w:val="24"/>
        </w:rPr>
        <w:t>.</w:t>
      </w:r>
      <w:r w:rsidR="006B146D">
        <w:rPr>
          <w:rFonts w:ascii="Adobe Garamond Pro" w:eastAsia="Times New Roman" w:hAnsi="Adobe Garamond Pro" w:cs="Times New Roman"/>
          <w:szCs w:val="24"/>
        </w:rPr>
        <w:t xml:space="preserve">  Were LLC</w:t>
      </w:r>
      <w:r w:rsidR="006B146D" w:rsidRPr="00FB3C65">
        <w:rPr>
          <w:rFonts w:ascii="Adobe Garamond Pro" w:eastAsia="Times New Roman" w:hAnsi="Adobe Garamond Pro" w:cs="Times New Roman"/>
          <w:szCs w:val="24"/>
        </w:rPr>
        <w:t>s permitted to preserve the anonymity of their members, the principal</w:t>
      </w:r>
      <w:r w:rsidR="006B146D">
        <w:rPr>
          <w:rFonts w:ascii="Adobe Garamond Pro" w:eastAsia="Times New Roman" w:hAnsi="Adobe Garamond Pro" w:cs="Times New Roman"/>
          <w:szCs w:val="24"/>
        </w:rPr>
        <w:t xml:space="preserve"> </w:t>
      </w:r>
      <w:r w:rsidR="006B146D" w:rsidRPr="00FB3C65">
        <w:rPr>
          <w:rFonts w:ascii="Adobe Garamond Pro" w:eastAsia="Times New Roman" w:hAnsi="Adobe Garamond Pro" w:cs="Times New Roman"/>
          <w:szCs w:val="24"/>
        </w:rPr>
        <w:t>rationale for diversity-based jurisdiction would not apply. Diversity jurisdiction is</w:t>
      </w:r>
      <w:r w:rsidR="006B146D">
        <w:rPr>
          <w:rFonts w:ascii="Adobe Garamond Pro" w:eastAsia="Times New Roman" w:hAnsi="Adobe Garamond Pro" w:cs="Times New Roman"/>
          <w:szCs w:val="24"/>
        </w:rPr>
        <w:t xml:space="preserve"> </w:t>
      </w:r>
      <w:r w:rsidR="006B146D" w:rsidRPr="00FB3C65">
        <w:rPr>
          <w:rFonts w:ascii="Adobe Garamond Pro" w:eastAsia="Times New Roman" w:hAnsi="Adobe Garamond Pro" w:cs="Times New Roman"/>
          <w:szCs w:val="24"/>
        </w:rPr>
        <w:t>intended “to prevent apprehended discrimination in</w:t>
      </w:r>
      <w:r w:rsidR="006B146D">
        <w:rPr>
          <w:rFonts w:ascii="Adobe Garamond Pro" w:eastAsia="Times New Roman" w:hAnsi="Adobe Garamond Pro" w:cs="Times New Roman"/>
          <w:szCs w:val="24"/>
        </w:rPr>
        <w:t xml:space="preserve"> state courts against those not </w:t>
      </w:r>
      <w:r w:rsidR="006B146D" w:rsidRPr="00FB3C65">
        <w:rPr>
          <w:rFonts w:ascii="Adobe Garamond Pro" w:eastAsia="Times New Roman" w:hAnsi="Adobe Garamond Pro" w:cs="Times New Roman"/>
          <w:szCs w:val="24"/>
        </w:rPr>
        <w:t xml:space="preserve">citizens of the state.” </w:t>
      </w:r>
      <w:r w:rsidR="006B146D" w:rsidRPr="006B146D">
        <w:rPr>
          <w:rFonts w:ascii="Adobe Garamond Pro" w:eastAsia="Times New Roman" w:hAnsi="Adobe Garamond Pro" w:cs="Times New Roman"/>
          <w:szCs w:val="24"/>
          <w:u w:val="single"/>
        </w:rPr>
        <w:t>Erie R.R. Co. v. Tompkins</w:t>
      </w:r>
      <w:r w:rsidR="006B146D" w:rsidRPr="00FB3C65">
        <w:rPr>
          <w:rFonts w:ascii="Adobe Garamond Pro" w:eastAsia="Times New Roman" w:hAnsi="Adobe Garamond Pro" w:cs="Times New Roman"/>
          <w:szCs w:val="24"/>
        </w:rPr>
        <w:t>, 304 U.S</w:t>
      </w:r>
      <w:r w:rsidR="006B146D">
        <w:rPr>
          <w:rFonts w:ascii="Adobe Garamond Pro" w:eastAsia="Times New Roman" w:hAnsi="Adobe Garamond Pro" w:cs="Times New Roman"/>
          <w:szCs w:val="24"/>
        </w:rPr>
        <w:t xml:space="preserve">. 64, 74 (1938).  An entity made up of anonymous </w:t>
      </w:r>
      <w:r w:rsidR="006B146D" w:rsidRPr="00FB3C65">
        <w:rPr>
          <w:rFonts w:ascii="Adobe Garamond Pro" w:eastAsia="Times New Roman" w:hAnsi="Adobe Garamond Pro" w:cs="Times New Roman"/>
          <w:szCs w:val="24"/>
        </w:rPr>
        <w:t>members could hardly argue that it faces unfair hometow</w:t>
      </w:r>
      <w:r w:rsidR="006B146D">
        <w:rPr>
          <w:rFonts w:ascii="Adobe Garamond Pro" w:eastAsia="Times New Roman" w:hAnsi="Adobe Garamond Pro" w:cs="Times New Roman"/>
          <w:szCs w:val="24"/>
        </w:rPr>
        <w:t xml:space="preserve">n prejudice in state court when the entity’s hometown is </w:t>
      </w:r>
      <w:r w:rsidR="006B146D" w:rsidRPr="00FB3C65">
        <w:rPr>
          <w:rFonts w:ascii="Adobe Garamond Pro" w:eastAsia="Times New Roman" w:hAnsi="Adobe Garamond Pro" w:cs="Times New Roman"/>
          <w:szCs w:val="24"/>
        </w:rPr>
        <w:t>unknown.</w:t>
      </w:r>
    </w:p>
    <w:p w:rsidR="006B146D" w:rsidRDefault="006B146D" w:rsidP="006B146D">
      <w:pPr>
        <w:widowControl w:val="0"/>
        <w:spacing w:after="0" w:line="239" w:lineRule="auto"/>
        <w:rPr>
          <w:rFonts w:ascii="Adobe Garamond Pro" w:eastAsia="Times New Roman" w:hAnsi="Adobe Garamond Pro" w:cs="Times New Roman"/>
          <w:szCs w:val="24"/>
        </w:rPr>
      </w:pPr>
    </w:p>
    <w:p w:rsidR="006B146D" w:rsidRDefault="006B146D" w:rsidP="00AE52F0">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As Counsel for Plaintiff BSI has not informed this Court of the members of BSI and declined to provide this information to this office, it is not possible “</w:t>
      </w:r>
      <w:r w:rsidRPr="006B146D">
        <w:rPr>
          <w:rFonts w:ascii="Adobe Garamond Pro" w:eastAsia="Times New Roman" w:hAnsi="Adobe Garamond Pro" w:cs="Times New Roman"/>
          <w:szCs w:val="24"/>
        </w:rPr>
        <w:t>to litigate under the diversity jurisdiction with details kept confidential from the judiciary.</w:t>
      </w:r>
      <w:r>
        <w:rPr>
          <w:rFonts w:ascii="Adobe Garamond Pro" w:eastAsia="Times New Roman" w:hAnsi="Adobe Garamond Pro" w:cs="Times New Roman"/>
          <w:szCs w:val="24"/>
        </w:rPr>
        <w:t>”</w:t>
      </w:r>
      <w:r w:rsidR="00AE52F0">
        <w:rPr>
          <w:rFonts w:ascii="Adobe Garamond Pro" w:eastAsia="Times New Roman" w:hAnsi="Adobe Garamond Pro" w:cs="Times New Roman"/>
          <w:szCs w:val="24"/>
        </w:rPr>
        <w:t xml:space="preserve">  </w:t>
      </w:r>
      <w:r w:rsidRPr="006B146D">
        <w:rPr>
          <w:rFonts w:ascii="Adobe Garamond Pro" w:eastAsia="Times New Roman" w:hAnsi="Adobe Garamond Pro" w:cs="Times New Roman"/>
          <w:szCs w:val="24"/>
          <w:u w:val="single"/>
        </w:rPr>
        <w:t>Belleville Catering v. Champaign Market Place</w:t>
      </w:r>
      <w:r>
        <w:rPr>
          <w:rFonts w:ascii="Adobe Garamond Pro" w:eastAsia="Times New Roman" w:hAnsi="Adobe Garamond Pro" w:cs="Times New Roman"/>
          <w:szCs w:val="24"/>
        </w:rPr>
        <w:t xml:space="preserve">, 350 F.3d 691, 693 </w:t>
      </w:r>
      <w:r w:rsidRPr="006B146D">
        <w:rPr>
          <w:rFonts w:ascii="Adobe Garamond Pro" w:eastAsia="Times New Roman" w:hAnsi="Adobe Garamond Pro" w:cs="Times New Roman"/>
          <w:szCs w:val="24"/>
        </w:rPr>
        <w:t>(7th Cir. 2003).</w:t>
      </w:r>
    </w:p>
    <w:p w:rsidR="006B6686" w:rsidRDefault="006B6686" w:rsidP="00AE52F0">
      <w:pPr>
        <w:widowControl w:val="0"/>
        <w:spacing w:after="0" w:line="239" w:lineRule="auto"/>
        <w:ind w:firstLine="720"/>
        <w:rPr>
          <w:rFonts w:ascii="Adobe Garamond Pro" w:eastAsia="Times New Roman" w:hAnsi="Adobe Garamond Pro" w:cs="Times New Roman"/>
          <w:szCs w:val="24"/>
        </w:rPr>
      </w:pPr>
    </w:p>
    <w:p w:rsidR="006B6686" w:rsidRDefault="006B6686" w:rsidP="00C8708E">
      <w:pPr>
        <w:widowControl w:val="0"/>
        <w:spacing w:after="0" w:line="239" w:lineRule="auto"/>
        <w:ind w:firstLine="720"/>
        <w:rPr>
          <w:rFonts w:ascii="Adobe Garamond Pro" w:eastAsia="Times New Roman" w:hAnsi="Adobe Garamond Pro" w:cs="Times New Roman"/>
          <w:szCs w:val="24"/>
        </w:rPr>
      </w:pPr>
      <w:r w:rsidRPr="006B146D">
        <w:rPr>
          <w:rFonts w:ascii="Adobe Garamond Pro" w:eastAsia="Times New Roman" w:hAnsi="Adobe Garamond Pro" w:cs="Times New Roman"/>
          <w:szCs w:val="24"/>
        </w:rPr>
        <w:t xml:space="preserve">The identity of the members of a privately-held LLC is not publicly available, making it </w:t>
      </w:r>
      <w:r>
        <w:rPr>
          <w:rFonts w:ascii="Adobe Garamond Pro" w:eastAsia="Times New Roman" w:hAnsi="Adobe Garamond Pro" w:cs="Times New Roman"/>
          <w:szCs w:val="24"/>
        </w:rPr>
        <w:t>impossible</w:t>
      </w:r>
      <w:r w:rsidRPr="006B146D">
        <w:rPr>
          <w:rFonts w:ascii="Adobe Garamond Pro" w:eastAsia="Times New Roman" w:hAnsi="Adobe Garamond Pro" w:cs="Times New Roman"/>
          <w:szCs w:val="24"/>
        </w:rPr>
        <w:t xml:space="preserve"> </w:t>
      </w:r>
      <w:r>
        <w:rPr>
          <w:rFonts w:ascii="Adobe Garamond Pro" w:eastAsia="Times New Roman" w:hAnsi="Adobe Garamond Pro" w:cs="Times New Roman"/>
          <w:szCs w:val="24"/>
        </w:rPr>
        <w:t xml:space="preserve">for </w:t>
      </w:r>
      <w:r w:rsidR="00C8708E">
        <w:rPr>
          <w:rFonts w:ascii="Adobe Garamond Pro" w:eastAsia="Times New Roman" w:hAnsi="Adobe Garamond Pro" w:cs="Times New Roman"/>
          <w:szCs w:val="24"/>
        </w:rPr>
        <w:t>Court or this office, on behalf of Defendant Kaushik</w:t>
      </w:r>
      <w:r>
        <w:rPr>
          <w:rFonts w:ascii="Adobe Garamond Pro" w:eastAsia="Times New Roman" w:hAnsi="Adobe Garamond Pro" w:cs="Times New Roman"/>
          <w:szCs w:val="24"/>
        </w:rPr>
        <w:t xml:space="preserve">, </w:t>
      </w:r>
      <w:r w:rsidRPr="006B146D">
        <w:rPr>
          <w:rFonts w:ascii="Adobe Garamond Pro" w:eastAsia="Times New Roman" w:hAnsi="Adobe Garamond Pro" w:cs="Times New Roman"/>
          <w:szCs w:val="24"/>
        </w:rPr>
        <w:t>to</w:t>
      </w:r>
      <w:r>
        <w:rPr>
          <w:rFonts w:ascii="Adobe Garamond Pro" w:eastAsia="Times New Roman" w:hAnsi="Adobe Garamond Pro" w:cs="Times New Roman"/>
          <w:szCs w:val="24"/>
        </w:rPr>
        <w:t xml:space="preserve"> forthrightly determine whether diversity jurisdiction has been properly established.</w:t>
      </w:r>
    </w:p>
    <w:p w:rsidR="006B6686" w:rsidRDefault="006B6686" w:rsidP="006B6686">
      <w:pPr>
        <w:pStyle w:val="ListParagraph"/>
        <w:widowControl w:val="0"/>
        <w:numPr>
          <w:ilvl w:val="0"/>
          <w:numId w:val="5"/>
        </w:numPr>
        <w:spacing w:after="0" w:line="239" w:lineRule="auto"/>
        <w:rPr>
          <w:rFonts w:ascii="Adobe Garamond Pro" w:eastAsia="Times New Roman" w:hAnsi="Adobe Garamond Pro" w:cs="Times New Roman"/>
          <w:b/>
          <w:szCs w:val="24"/>
        </w:rPr>
      </w:pPr>
      <w:r>
        <w:rPr>
          <w:rFonts w:ascii="Adobe Garamond Pro" w:eastAsia="Times New Roman" w:hAnsi="Adobe Garamond Pro" w:cs="Times New Roman"/>
          <w:b/>
          <w:szCs w:val="24"/>
        </w:rPr>
        <w:lastRenderedPageBreak/>
        <w:t>Application to Present Case</w:t>
      </w:r>
    </w:p>
    <w:p w:rsidR="006B6686" w:rsidRDefault="006B6686" w:rsidP="006B6686">
      <w:pPr>
        <w:widowControl w:val="0"/>
        <w:spacing w:after="0" w:line="239" w:lineRule="auto"/>
        <w:rPr>
          <w:rFonts w:ascii="Adobe Garamond Pro" w:eastAsia="Times New Roman" w:hAnsi="Adobe Garamond Pro" w:cs="Times New Roman"/>
          <w:szCs w:val="24"/>
        </w:rPr>
      </w:pPr>
    </w:p>
    <w:p w:rsidR="006B6686" w:rsidRDefault="006B6686" w:rsidP="006B6686">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t xml:space="preserve">Plaintiff’s Verified Complaint invoked subject matter jurisdiction without even a cursory recitation of its members or an awareness of the fundamental precepts of corporate citizenship as applied by all federal courts which have considered this issue, </w:t>
      </w:r>
      <w:r>
        <w:rPr>
          <w:rFonts w:ascii="Adobe Garamond Pro" w:eastAsia="Times New Roman" w:hAnsi="Adobe Garamond Pro" w:cs="Times New Roman"/>
          <w:i/>
          <w:szCs w:val="24"/>
        </w:rPr>
        <w:t>supra</w:t>
      </w:r>
      <w:r>
        <w:rPr>
          <w:rFonts w:ascii="Adobe Garamond Pro" w:eastAsia="Times New Roman" w:hAnsi="Adobe Garamond Pro" w:cs="Times New Roman"/>
          <w:szCs w:val="24"/>
        </w:rPr>
        <w:t xml:space="preserve">. </w:t>
      </w:r>
    </w:p>
    <w:p w:rsidR="006B6686" w:rsidRDefault="006B6686" w:rsidP="006B6686">
      <w:pPr>
        <w:widowControl w:val="0"/>
        <w:spacing w:after="0" w:line="239" w:lineRule="auto"/>
        <w:rPr>
          <w:rFonts w:ascii="Adobe Garamond Pro" w:eastAsia="Times New Roman" w:hAnsi="Adobe Garamond Pro" w:cs="Times New Roman"/>
          <w:szCs w:val="24"/>
        </w:rPr>
      </w:pPr>
    </w:p>
    <w:p w:rsidR="006B6686" w:rsidRDefault="006B6686" w:rsidP="006B6686">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 xml:space="preserve">Since filing the Verified Complaint, Plaintiff has sought two (2) pre-motion conferences.  </w:t>
      </w:r>
    </w:p>
    <w:p w:rsidR="006B6686" w:rsidRDefault="006B6686" w:rsidP="006B6686">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 xml:space="preserve">As a result of the second request for a pre-motion conference, the Court has directed the parties to enter into a briefing schedule even though Plaintiff has failed to account for, understand the significance of, or even mention the citizenship of its members.  </w:t>
      </w:r>
    </w:p>
    <w:p w:rsidR="006B6686" w:rsidRDefault="006B6686" w:rsidP="006B6686">
      <w:pPr>
        <w:widowControl w:val="0"/>
        <w:spacing w:after="0" w:line="239" w:lineRule="auto"/>
        <w:rPr>
          <w:rFonts w:ascii="Adobe Garamond Pro" w:eastAsia="Times New Roman" w:hAnsi="Adobe Garamond Pro" w:cs="Times New Roman"/>
          <w:szCs w:val="24"/>
        </w:rPr>
      </w:pPr>
    </w:p>
    <w:p w:rsidR="006B6686" w:rsidRDefault="006B6686" w:rsidP="006B6686">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 xml:space="preserve">Without establishing citizenship of Plaintiff’s members, this honorable Court cannot exercise jurisdiction absent such an accounting.  </w:t>
      </w:r>
      <w:r w:rsidRPr="00AD0070">
        <w:rPr>
          <w:rFonts w:ascii="Adobe Garamond Pro" w:eastAsia="Times New Roman" w:hAnsi="Adobe Garamond Pro" w:cs="Times New Roman"/>
          <w:szCs w:val="24"/>
          <w:u w:val="single"/>
        </w:rPr>
        <w:t>See</w:t>
      </w:r>
      <w:r w:rsidRPr="00EB3411">
        <w:rPr>
          <w:rFonts w:ascii="Adobe Garamond Pro" w:eastAsia="Times New Roman" w:hAnsi="Adobe Garamond Pro" w:cs="Times New Roman"/>
          <w:szCs w:val="24"/>
        </w:rPr>
        <w:t xml:space="preserve"> </w:t>
      </w:r>
      <w:r w:rsidRPr="00AD0070">
        <w:rPr>
          <w:rFonts w:ascii="Adobe Garamond Pro" w:eastAsia="Times New Roman" w:hAnsi="Adobe Garamond Pro" w:cs="Times New Roman"/>
          <w:szCs w:val="24"/>
          <w:u w:val="single"/>
        </w:rPr>
        <w:t>Ashcroft v. Iqbal</w:t>
      </w:r>
      <w:r w:rsidRPr="00EB3411">
        <w:rPr>
          <w:rFonts w:ascii="Adobe Garamond Pro" w:eastAsia="Times New Roman" w:hAnsi="Adobe Garamond Pro" w:cs="Times New Roman"/>
          <w:szCs w:val="24"/>
        </w:rPr>
        <w:t>, 556 U.S. 66</w:t>
      </w:r>
      <w:r>
        <w:rPr>
          <w:rFonts w:ascii="Adobe Garamond Pro" w:eastAsia="Times New Roman" w:hAnsi="Adobe Garamond Pro" w:cs="Times New Roman"/>
          <w:szCs w:val="24"/>
        </w:rPr>
        <w:t xml:space="preserve">2, 671, 129 S. Ct. 1937, 1945, </w:t>
      </w:r>
      <w:r w:rsidRPr="00EB3411">
        <w:rPr>
          <w:rFonts w:ascii="Adobe Garamond Pro" w:eastAsia="Times New Roman" w:hAnsi="Adobe Garamond Pro" w:cs="Times New Roman"/>
          <w:szCs w:val="24"/>
        </w:rPr>
        <w:t>173 L. Ed. 2d 868 (2009)(“Subject</w:t>
      </w:r>
      <w:r>
        <w:rPr>
          <w:rFonts w:ascii="Adobe Garamond Pro" w:eastAsia="Times New Roman" w:hAnsi="Adobe Garamond Pro" w:cs="Times New Roman"/>
          <w:szCs w:val="24"/>
        </w:rPr>
        <w:t xml:space="preserve">-matter jurisdiction cannot be </w:t>
      </w:r>
      <w:r w:rsidRPr="00EB3411">
        <w:rPr>
          <w:rFonts w:ascii="Adobe Garamond Pro" w:eastAsia="Times New Roman" w:hAnsi="Adobe Garamond Pro" w:cs="Times New Roman"/>
          <w:szCs w:val="24"/>
        </w:rPr>
        <w:t>forfeited or waived and should</w:t>
      </w:r>
      <w:r>
        <w:rPr>
          <w:rFonts w:ascii="Adobe Garamond Pro" w:eastAsia="Times New Roman" w:hAnsi="Adobe Garamond Pro" w:cs="Times New Roman"/>
          <w:szCs w:val="24"/>
        </w:rPr>
        <w:t xml:space="preserve"> be considered when fairly in </w:t>
      </w:r>
      <w:r w:rsidRPr="00EB3411">
        <w:rPr>
          <w:rFonts w:ascii="Adobe Garamond Pro" w:eastAsia="Times New Roman" w:hAnsi="Adobe Garamond Pro" w:cs="Times New Roman"/>
          <w:szCs w:val="24"/>
        </w:rPr>
        <w:t xml:space="preserve">doubt.”)(citations omitted); </w:t>
      </w:r>
      <w:r w:rsidRPr="00EE6C4F">
        <w:rPr>
          <w:rFonts w:ascii="Adobe Garamond Pro" w:eastAsia="Times New Roman" w:hAnsi="Adobe Garamond Pro" w:cs="Times New Roman"/>
          <w:szCs w:val="24"/>
          <w:u w:val="single"/>
        </w:rPr>
        <w:t>Kokkonen v. Guardian Life Ins. Co. of Am.</w:t>
      </w:r>
      <w:r>
        <w:rPr>
          <w:rFonts w:ascii="Adobe Garamond Pro" w:eastAsia="Times New Roman" w:hAnsi="Adobe Garamond Pro" w:cs="Times New Roman"/>
          <w:szCs w:val="24"/>
        </w:rPr>
        <w:t xml:space="preserve">, </w:t>
      </w:r>
      <w:r w:rsidRPr="00EE6C4F">
        <w:rPr>
          <w:rFonts w:ascii="Adobe Garamond Pro" w:eastAsia="Times New Roman" w:hAnsi="Adobe Garamond Pro" w:cs="Times New Roman"/>
          <w:szCs w:val="24"/>
        </w:rPr>
        <w:t>511 U.S. 375, 377 (1994) (citations omitted)</w:t>
      </w:r>
      <w:r>
        <w:rPr>
          <w:rFonts w:ascii="Adobe Garamond Pro" w:eastAsia="Times New Roman" w:hAnsi="Adobe Garamond Pro" w:cs="Times New Roman"/>
          <w:szCs w:val="24"/>
        </w:rPr>
        <w:t xml:space="preserve"> (</w:t>
      </w:r>
      <w:r w:rsidRPr="00EE6C4F">
        <w:rPr>
          <w:rFonts w:ascii="Adobe Garamond Pro" w:eastAsia="Times New Roman" w:hAnsi="Adobe Garamond Pro" w:cs="Times New Roman"/>
          <w:szCs w:val="24"/>
        </w:rPr>
        <w:t>“It is to be presumed that a cause lies outside [of federal courts’] limited jurisdiction, and the burden of establishing the contrary rests upon the</w:t>
      </w:r>
      <w:r>
        <w:rPr>
          <w:rFonts w:ascii="Adobe Garamond Pro" w:eastAsia="Times New Roman" w:hAnsi="Adobe Garamond Pro" w:cs="Times New Roman"/>
          <w:szCs w:val="24"/>
        </w:rPr>
        <w:t xml:space="preserve"> party asserting jurisdiction.”)  </w:t>
      </w:r>
    </w:p>
    <w:p w:rsidR="006B6686" w:rsidRDefault="006B6686" w:rsidP="006B6686">
      <w:pPr>
        <w:widowControl w:val="0"/>
        <w:spacing w:after="0" w:line="239" w:lineRule="auto"/>
        <w:rPr>
          <w:rFonts w:ascii="Adobe Garamond Pro" w:eastAsia="Times New Roman" w:hAnsi="Adobe Garamond Pro" w:cs="Times New Roman"/>
          <w:szCs w:val="24"/>
        </w:rPr>
      </w:pPr>
    </w:p>
    <w:p w:rsidR="006B6686" w:rsidRDefault="006B6686" w:rsidP="006B6686">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 xml:space="preserve">Moreover, this Court has the obligation to determine subject matter jurisdiction, </w:t>
      </w:r>
      <w:r w:rsidRPr="006B6686">
        <w:rPr>
          <w:rFonts w:ascii="Adobe Garamond Pro" w:eastAsia="Times New Roman" w:hAnsi="Adobe Garamond Pro" w:cs="Times New Roman"/>
          <w:szCs w:val="24"/>
        </w:rPr>
        <w:t>sua sponte</w:t>
      </w:r>
      <w:r>
        <w:rPr>
          <w:rFonts w:ascii="Adobe Garamond Pro" w:eastAsia="Times New Roman" w:hAnsi="Adobe Garamond Pro" w:cs="Times New Roman"/>
          <w:szCs w:val="24"/>
        </w:rPr>
        <w:t xml:space="preserve">, even if the parties do not bring the issue to their attention.  </w:t>
      </w:r>
      <w:r w:rsidRPr="00D136B4">
        <w:rPr>
          <w:rFonts w:ascii="Adobe Garamond Pro" w:eastAsia="Times New Roman" w:hAnsi="Adobe Garamond Pro" w:cs="Times New Roman"/>
          <w:szCs w:val="24"/>
          <w:u w:val="single"/>
        </w:rPr>
        <w:t>Arbaugh v. Y&amp;H Corp.</w:t>
      </w:r>
      <w:r>
        <w:rPr>
          <w:rFonts w:ascii="Adobe Garamond Pro" w:eastAsia="Times New Roman" w:hAnsi="Adobe Garamond Pro" w:cs="Times New Roman"/>
          <w:szCs w:val="24"/>
        </w:rPr>
        <w:t xml:space="preserve">, 546 U.S. 500, </w:t>
      </w:r>
      <w:r w:rsidRPr="00EB3411">
        <w:rPr>
          <w:rFonts w:ascii="Adobe Garamond Pro" w:eastAsia="Times New Roman" w:hAnsi="Adobe Garamond Pro" w:cs="Times New Roman"/>
          <w:szCs w:val="24"/>
        </w:rPr>
        <w:t>514, 126 S. Ct. 1235, 1244, 163 L.</w:t>
      </w:r>
      <w:r>
        <w:rPr>
          <w:rFonts w:ascii="Adobe Garamond Pro" w:eastAsia="Times New Roman" w:hAnsi="Adobe Garamond Pro" w:cs="Times New Roman"/>
          <w:szCs w:val="24"/>
        </w:rPr>
        <w:t xml:space="preserve"> Ed. 2d 1097 (2006)(“Moreover, </w:t>
      </w:r>
      <w:r w:rsidRPr="00EB3411">
        <w:rPr>
          <w:rFonts w:ascii="Adobe Garamond Pro" w:eastAsia="Times New Roman" w:hAnsi="Adobe Garamond Pro" w:cs="Times New Roman"/>
          <w:szCs w:val="24"/>
        </w:rPr>
        <w:t>courts, including this Court, hav</w:t>
      </w:r>
      <w:r>
        <w:rPr>
          <w:rFonts w:ascii="Adobe Garamond Pro" w:eastAsia="Times New Roman" w:hAnsi="Adobe Garamond Pro" w:cs="Times New Roman"/>
          <w:szCs w:val="24"/>
        </w:rPr>
        <w:t xml:space="preserve">e an independent obligation to </w:t>
      </w:r>
      <w:r w:rsidRPr="00EB3411">
        <w:rPr>
          <w:rFonts w:ascii="Adobe Garamond Pro" w:eastAsia="Times New Roman" w:hAnsi="Adobe Garamond Pro" w:cs="Times New Roman"/>
          <w:szCs w:val="24"/>
        </w:rPr>
        <w:t>determine whether subject-matter ju</w:t>
      </w:r>
      <w:r>
        <w:rPr>
          <w:rFonts w:ascii="Adobe Garamond Pro" w:eastAsia="Times New Roman" w:hAnsi="Adobe Garamond Pro" w:cs="Times New Roman"/>
          <w:szCs w:val="24"/>
        </w:rPr>
        <w:t xml:space="preserve">risdiction exists, even in the </w:t>
      </w:r>
      <w:r w:rsidRPr="00EB3411">
        <w:rPr>
          <w:rFonts w:ascii="Adobe Garamond Pro" w:eastAsia="Times New Roman" w:hAnsi="Adobe Garamond Pro" w:cs="Times New Roman"/>
          <w:szCs w:val="24"/>
        </w:rPr>
        <w:t>absence of a challenge from any par</w:t>
      </w:r>
      <w:r>
        <w:rPr>
          <w:rFonts w:ascii="Adobe Garamond Pro" w:eastAsia="Times New Roman" w:hAnsi="Adobe Garamond Pro" w:cs="Times New Roman"/>
          <w:szCs w:val="24"/>
        </w:rPr>
        <w:t xml:space="preserve">ty,” and “when a federal court </w:t>
      </w:r>
      <w:r w:rsidRPr="00EB3411">
        <w:rPr>
          <w:rFonts w:ascii="Adobe Garamond Pro" w:eastAsia="Times New Roman" w:hAnsi="Adobe Garamond Pro" w:cs="Times New Roman"/>
          <w:szCs w:val="24"/>
        </w:rPr>
        <w:t>concludes that it lacks subject-</w:t>
      </w:r>
      <w:r>
        <w:rPr>
          <w:rFonts w:ascii="Adobe Garamond Pro" w:eastAsia="Times New Roman" w:hAnsi="Adobe Garamond Pro" w:cs="Times New Roman"/>
          <w:szCs w:val="24"/>
        </w:rPr>
        <w:t xml:space="preserve">matter jurisdiction, the court </w:t>
      </w:r>
      <w:r w:rsidRPr="00EB3411">
        <w:rPr>
          <w:rFonts w:ascii="Adobe Garamond Pro" w:eastAsia="Times New Roman" w:hAnsi="Adobe Garamond Pro" w:cs="Times New Roman"/>
          <w:szCs w:val="24"/>
        </w:rPr>
        <w:t>must dismiss t</w:t>
      </w:r>
      <w:r>
        <w:rPr>
          <w:rFonts w:ascii="Adobe Garamond Pro" w:eastAsia="Times New Roman" w:hAnsi="Adobe Garamond Pro" w:cs="Times New Roman"/>
          <w:szCs w:val="24"/>
        </w:rPr>
        <w:t xml:space="preserve">he complaint in its entirety.”);  </w:t>
      </w:r>
      <w:r>
        <w:rPr>
          <w:rFonts w:ascii="Adobe Garamond Pro" w:eastAsia="Times New Roman" w:hAnsi="Adobe Garamond Pro" w:cs="Times New Roman"/>
          <w:szCs w:val="24"/>
          <w:u w:val="single"/>
        </w:rPr>
        <w:t>S</w:t>
      </w:r>
      <w:r w:rsidRPr="00D136B4">
        <w:rPr>
          <w:rFonts w:ascii="Adobe Garamond Pro" w:eastAsia="Times New Roman" w:hAnsi="Adobe Garamond Pro" w:cs="Times New Roman"/>
          <w:szCs w:val="24"/>
          <w:u w:val="single"/>
        </w:rPr>
        <w:t>ee</w:t>
      </w:r>
      <w:r>
        <w:rPr>
          <w:rFonts w:ascii="Adobe Garamond Pro" w:eastAsia="Times New Roman" w:hAnsi="Adobe Garamond Pro" w:cs="Times New Roman"/>
          <w:szCs w:val="24"/>
        </w:rPr>
        <w:t xml:space="preserve"> </w:t>
      </w:r>
      <w:r w:rsidRPr="00D136B4">
        <w:rPr>
          <w:rFonts w:ascii="Adobe Garamond Pro" w:eastAsia="Times New Roman" w:hAnsi="Adobe Garamond Pro" w:cs="Times New Roman"/>
          <w:szCs w:val="24"/>
          <w:u w:val="single"/>
        </w:rPr>
        <w:t>Also</w:t>
      </w:r>
      <w:r>
        <w:rPr>
          <w:rFonts w:ascii="Adobe Garamond Pro" w:eastAsia="Times New Roman" w:hAnsi="Adobe Garamond Pro" w:cs="Times New Roman"/>
          <w:szCs w:val="24"/>
        </w:rPr>
        <w:t xml:space="preserve"> </w:t>
      </w:r>
      <w:r w:rsidRPr="00D136B4">
        <w:rPr>
          <w:rFonts w:ascii="Adobe Garamond Pro" w:eastAsia="Times New Roman" w:hAnsi="Adobe Garamond Pro" w:cs="Times New Roman"/>
          <w:szCs w:val="24"/>
          <w:u w:val="single"/>
        </w:rPr>
        <w:t>Sharkey v. Quartantillo</w:t>
      </w:r>
      <w:r w:rsidRPr="00E43C58">
        <w:rPr>
          <w:rFonts w:ascii="Adobe Garamond Pro" w:eastAsia="Times New Roman" w:hAnsi="Adobe Garamond Pro" w:cs="Times New Roman"/>
          <w:szCs w:val="24"/>
        </w:rPr>
        <w:t>, 541 F.3d 75, 87–88 (2d Cir. 2008)</w:t>
      </w:r>
      <w:r>
        <w:rPr>
          <w:rFonts w:ascii="Adobe Garamond Pro" w:eastAsia="Times New Roman" w:hAnsi="Adobe Garamond Pro" w:cs="Times New Roman"/>
          <w:szCs w:val="24"/>
        </w:rPr>
        <w:t>.</w:t>
      </w:r>
    </w:p>
    <w:p w:rsidR="00D46EDE" w:rsidRDefault="00D46EDE" w:rsidP="006B6686">
      <w:pPr>
        <w:widowControl w:val="0"/>
        <w:spacing w:after="0" w:line="239" w:lineRule="auto"/>
        <w:ind w:firstLine="720"/>
        <w:rPr>
          <w:rFonts w:ascii="Adobe Garamond Pro" w:eastAsia="Times New Roman" w:hAnsi="Adobe Garamond Pro" w:cs="Times New Roman"/>
          <w:szCs w:val="24"/>
        </w:rPr>
      </w:pPr>
    </w:p>
    <w:p w:rsidR="00D46EDE" w:rsidRDefault="00D46EDE" w:rsidP="006B6686">
      <w:pPr>
        <w:widowControl w:val="0"/>
        <w:spacing w:after="0" w:line="239" w:lineRule="auto"/>
        <w:ind w:firstLine="720"/>
        <w:rPr>
          <w:rFonts w:ascii="Adobe Garamond Pro" w:eastAsia="Times New Roman" w:hAnsi="Adobe Garamond Pro" w:cs="Times New Roman"/>
          <w:szCs w:val="24"/>
        </w:rPr>
      </w:pPr>
      <w:r>
        <w:rPr>
          <w:rFonts w:ascii="Adobe Garamond Pro" w:eastAsia="Times New Roman" w:hAnsi="Adobe Garamond Pro" w:cs="Times New Roman"/>
          <w:szCs w:val="24"/>
        </w:rPr>
        <w:t>This office respectfully requests that Your Honor direct Plaintiff to disclose the relevant information in order to ascertain whether this Court possesses jurisdiction in this matter.  Thank you for your courtesies.</w:t>
      </w:r>
    </w:p>
    <w:p w:rsidR="002D65B5" w:rsidRPr="002D65B5" w:rsidRDefault="002D65B5" w:rsidP="002D65B5">
      <w:pPr>
        <w:widowControl w:val="0"/>
        <w:spacing w:after="0" w:line="239" w:lineRule="auto"/>
        <w:rPr>
          <w:rFonts w:ascii="Adobe Garamond Pro" w:eastAsia="Times New Roman" w:hAnsi="Adobe Garamond Pro" w:cs="Times New Roman"/>
          <w:szCs w:val="24"/>
        </w:rPr>
      </w:pPr>
    </w:p>
    <w:p w:rsidR="002D65B5" w:rsidRPr="002D65B5" w:rsidRDefault="002D65B5" w:rsidP="00C8708E">
      <w:pPr>
        <w:widowControl w:val="0"/>
        <w:spacing w:after="0" w:line="240" w:lineRule="auto"/>
        <w:ind w:left="3600" w:firstLine="720"/>
        <w:rPr>
          <w:rFonts w:ascii="Adobe Garamond Pro" w:eastAsia="Times New Roman" w:hAnsi="Adobe Garamond Pro" w:cs="Times New Roman"/>
          <w:szCs w:val="24"/>
        </w:rPr>
      </w:pPr>
      <w:r w:rsidRPr="002D65B5">
        <w:rPr>
          <w:rFonts w:ascii="Adobe Garamond Pro" w:eastAsia="Times New Roman" w:hAnsi="Adobe Garamond Pro" w:cs="Times New Roman"/>
          <w:szCs w:val="24"/>
        </w:rPr>
        <w:t>Very truly yours,</w:t>
      </w:r>
    </w:p>
    <w:p w:rsidR="002D65B5" w:rsidRPr="002D65B5" w:rsidRDefault="002D65B5" w:rsidP="002D65B5">
      <w:pPr>
        <w:spacing w:after="0" w:line="240" w:lineRule="auto"/>
        <w:rPr>
          <w:rFonts w:ascii="Adobe Garamond Pro" w:eastAsia="Times New Roman" w:hAnsi="Adobe Garamond Pro" w:cs="Times New Roman"/>
          <w:noProof/>
          <w:szCs w:val="24"/>
        </w:rPr>
      </w:pPr>
      <w:r w:rsidRPr="002D65B5">
        <w:rPr>
          <w:rFonts w:ascii="Adobe Garamond Pro" w:eastAsia="Times New Roman" w:hAnsi="Adobe Garamond Pro" w:cs="Times New Roman"/>
          <w:szCs w:val="24"/>
        </w:rPr>
        <w:tab/>
      </w:r>
      <w:r w:rsidRPr="002D65B5">
        <w:rPr>
          <w:rFonts w:ascii="Adobe Garamond Pro" w:eastAsia="Times New Roman" w:hAnsi="Adobe Garamond Pro" w:cs="Times New Roman"/>
          <w:szCs w:val="24"/>
        </w:rPr>
        <w:tab/>
      </w:r>
      <w:r w:rsidRPr="002D65B5">
        <w:rPr>
          <w:rFonts w:ascii="Adobe Garamond Pro" w:eastAsia="Times New Roman" w:hAnsi="Adobe Garamond Pro" w:cs="Times New Roman"/>
          <w:szCs w:val="24"/>
        </w:rPr>
        <w:tab/>
      </w:r>
      <w:r w:rsidRPr="002D65B5">
        <w:rPr>
          <w:rFonts w:ascii="Adobe Garamond Pro" w:eastAsia="Times New Roman" w:hAnsi="Adobe Garamond Pro" w:cs="Times New Roman"/>
          <w:szCs w:val="24"/>
        </w:rPr>
        <w:tab/>
        <w:t xml:space="preserve">        </w:t>
      </w:r>
      <w:r w:rsidR="00D46EDE">
        <w:rPr>
          <w:rFonts w:ascii="Adobe Garamond Pro" w:eastAsia="Times New Roman" w:hAnsi="Adobe Garamond Pro" w:cs="Times New Roman"/>
          <w:szCs w:val="24"/>
        </w:rPr>
        <w:tab/>
        <w:t xml:space="preserve">         </w:t>
      </w:r>
      <w:r w:rsidRPr="002D65B5">
        <w:rPr>
          <w:rFonts w:ascii="Adobe Garamond Pro" w:eastAsia="Times New Roman" w:hAnsi="Adobe Garamond Pro" w:cs="Times New Roman"/>
          <w:szCs w:val="24"/>
        </w:rPr>
        <w:t xml:space="preserve">  </w:t>
      </w:r>
      <w:r w:rsidRPr="002D65B5">
        <w:rPr>
          <w:rFonts w:ascii="Adobe Garamond Pro" w:eastAsia="Times New Roman" w:hAnsi="Adobe Garamond Pro" w:cs="Times New Roman"/>
          <w:noProof/>
          <w:szCs w:val="24"/>
        </w:rPr>
        <w:drawing>
          <wp:inline distT="0" distB="0" distL="0" distR="0" wp14:anchorId="5F800AB1" wp14:editId="4E27158C">
            <wp:extent cx="1041354" cy="47739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pencer Sheeh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838" cy="484955"/>
                    </a:xfrm>
                    <a:prstGeom prst="rect">
                      <a:avLst/>
                    </a:prstGeom>
                  </pic:spPr>
                </pic:pic>
              </a:graphicData>
            </a:graphic>
          </wp:inline>
        </w:drawing>
      </w:r>
      <w:r w:rsidRPr="002D65B5">
        <w:rPr>
          <w:rFonts w:ascii="Adobe Garamond Pro" w:eastAsia="Times New Roman" w:hAnsi="Adobe Garamond Pro" w:cs="Times New Roman"/>
          <w:szCs w:val="24"/>
        </w:rPr>
        <w:t xml:space="preserve"> </w:t>
      </w:r>
    </w:p>
    <w:p w:rsidR="002D65B5" w:rsidRPr="002D65B5" w:rsidRDefault="002D65B5" w:rsidP="00C8708E">
      <w:pPr>
        <w:widowControl w:val="0"/>
        <w:spacing w:after="0" w:line="239" w:lineRule="auto"/>
        <w:ind w:left="3600" w:firstLine="720"/>
        <w:rPr>
          <w:rFonts w:ascii="Adobe Garamond Pro" w:eastAsia="Times New Roman" w:hAnsi="Adobe Garamond Pro" w:cs="Times New Roman"/>
          <w:szCs w:val="24"/>
        </w:rPr>
      </w:pPr>
      <w:r w:rsidRPr="002D65B5">
        <w:rPr>
          <w:rFonts w:ascii="Adobe Garamond Pro" w:eastAsia="Times New Roman" w:hAnsi="Adobe Garamond Pro" w:cs="Times New Roman"/>
          <w:szCs w:val="24"/>
        </w:rPr>
        <w:t>Spencer Sheehan</w:t>
      </w:r>
    </w:p>
    <w:p w:rsidR="002D65B5" w:rsidRDefault="002D65B5" w:rsidP="002D65B5">
      <w:pPr>
        <w:widowControl w:val="0"/>
        <w:spacing w:after="0" w:line="239" w:lineRule="auto"/>
        <w:rPr>
          <w:rFonts w:ascii="Adobe Garamond Pro" w:eastAsia="Times New Roman" w:hAnsi="Adobe Garamond Pro" w:cs="Times New Roman"/>
          <w:b/>
          <w:szCs w:val="24"/>
        </w:rPr>
      </w:pPr>
    </w:p>
    <w:p w:rsidR="00C8708E" w:rsidRDefault="00C8708E" w:rsidP="002D65B5">
      <w:pPr>
        <w:widowControl w:val="0"/>
        <w:spacing w:after="0" w:line="239" w:lineRule="auto"/>
        <w:rPr>
          <w:rFonts w:ascii="Adobe Garamond Pro" w:eastAsia="Times New Roman" w:hAnsi="Adobe Garamond Pro" w:cs="Times New Roman"/>
          <w:b/>
          <w:szCs w:val="24"/>
        </w:rPr>
      </w:pPr>
    </w:p>
    <w:p w:rsidR="00C8708E" w:rsidRDefault="00C8708E" w:rsidP="002D65B5">
      <w:pPr>
        <w:widowControl w:val="0"/>
        <w:spacing w:after="0" w:line="239" w:lineRule="auto"/>
        <w:rPr>
          <w:rFonts w:ascii="Adobe Garamond Pro" w:eastAsia="Times New Roman" w:hAnsi="Adobe Garamond Pro" w:cs="Times New Roman"/>
          <w:b/>
          <w:szCs w:val="24"/>
        </w:rPr>
      </w:pPr>
    </w:p>
    <w:p w:rsidR="00C8708E" w:rsidRDefault="00C8708E"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Attachment</w:t>
      </w:r>
    </w:p>
    <w:p w:rsidR="00C8708E" w:rsidRDefault="00C8708E" w:rsidP="002D65B5">
      <w:pPr>
        <w:widowControl w:val="0"/>
        <w:spacing w:after="0" w:line="239" w:lineRule="auto"/>
        <w:rPr>
          <w:rFonts w:ascii="Adobe Garamond Pro" w:eastAsia="Times New Roman" w:hAnsi="Adobe Garamond Pro" w:cs="Times New Roman"/>
          <w:szCs w:val="24"/>
        </w:rPr>
      </w:pPr>
    </w:p>
    <w:p w:rsidR="00C8708E" w:rsidRDefault="00C8708E"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cc:</w:t>
      </w:r>
      <w:r>
        <w:rPr>
          <w:rFonts w:ascii="Adobe Garamond Pro" w:eastAsia="Times New Roman" w:hAnsi="Adobe Garamond Pro" w:cs="Times New Roman"/>
          <w:szCs w:val="24"/>
        </w:rPr>
        <w:tab/>
        <w:t>Alan Weinreb, Esq.</w:t>
      </w:r>
    </w:p>
    <w:p w:rsidR="00C8708E" w:rsidRDefault="00C8708E"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t>The Margolin &amp; Weinreb Law Group, LLP</w:t>
      </w:r>
    </w:p>
    <w:p w:rsidR="00C8708E" w:rsidRDefault="00C8708E"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lastRenderedPageBreak/>
        <w:tab/>
        <w:t>165 Eileen Way</w:t>
      </w:r>
    </w:p>
    <w:p w:rsidR="00C8708E" w:rsidRPr="00C8708E" w:rsidRDefault="00C8708E" w:rsidP="002D65B5">
      <w:pPr>
        <w:widowControl w:val="0"/>
        <w:spacing w:after="0" w:line="239" w:lineRule="auto"/>
        <w:rPr>
          <w:rFonts w:ascii="Adobe Garamond Pro" w:eastAsia="Times New Roman" w:hAnsi="Adobe Garamond Pro" w:cs="Times New Roman"/>
          <w:szCs w:val="24"/>
        </w:rPr>
      </w:pPr>
      <w:r>
        <w:rPr>
          <w:rFonts w:ascii="Adobe Garamond Pro" w:eastAsia="Times New Roman" w:hAnsi="Adobe Garamond Pro" w:cs="Times New Roman"/>
          <w:szCs w:val="24"/>
        </w:rPr>
        <w:tab/>
        <w:t>Syosset, NY 11791</w:t>
      </w:r>
    </w:p>
    <w:p w:rsidR="002D65B5" w:rsidRPr="003119C7" w:rsidRDefault="002D65B5" w:rsidP="001345B5">
      <w:pPr>
        <w:spacing w:line="240" w:lineRule="auto"/>
        <w:rPr>
          <w:rFonts w:ascii="Adobe Garamond Pro" w:hAnsi="Adobe Garamond Pro"/>
        </w:rPr>
      </w:pPr>
    </w:p>
    <w:sectPr w:rsidR="002D65B5" w:rsidRPr="003119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8A" w:rsidRDefault="00F1488A" w:rsidP="004A26C7">
      <w:pPr>
        <w:spacing w:after="0" w:line="240" w:lineRule="auto"/>
      </w:pPr>
      <w:r>
        <w:separator/>
      </w:r>
    </w:p>
  </w:endnote>
  <w:endnote w:type="continuationSeparator" w:id="0">
    <w:p w:rsidR="00F1488A" w:rsidRDefault="00F1488A" w:rsidP="004A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dobe Garamond Pro" w:hAnsi="Adobe Garamond Pro"/>
      </w:rPr>
      <w:id w:val="68546973"/>
      <w:docPartObj>
        <w:docPartGallery w:val="Page Numbers (Bottom of Page)"/>
        <w:docPartUnique/>
      </w:docPartObj>
    </w:sdtPr>
    <w:sdtEndPr>
      <w:rPr>
        <w:noProof/>
      </w:rPr>
    </w:sdtEndPr>
    <w:sdtContent>
      <w:p w:rsidR="00C8708E" w:rsidRPr="00C8708E" w:rsidRDefault="00C8708E">
        <w:pPr>
          <w:pStyle w:val="Footer"/>
          <w:jc w:val="center"/>
          <w:rPr>
            <w:rFonts w:ascii="Adobe Garamond Pro" w:hAnsi="Adobe Garamond Pro"/>
          </w:rPr>
        </w:pPr>
        <w:r w:rsidRPr="00C8708E">
          <w:rPr>
            <w:rFonts w:ascii="Adobe Garamond Pro" w:hAnsi="Adobe Garamond Pro"/>
          </w:rPr>
          <w:fldChar w:fldCharType="begin"/>
        </w:r>
        <w:r w:rsidRPr="00C8708E">
          <w:rPr>
            <w:rFonts w:ascii="Adobe Garamond Pro" w:hAnsi="Adobe Garamond Pro"/>
          </w:rPr>
          <w:instrText xml:space="preserve"> PAGE   \* MERGEFORMAT </w:instrText>
        </w:r>
        <w:r w:rsidRPr="00C8708E">
          <w:rPr>
            <w:rFonts w:ascii="Adobe Garamond Pro" w:hAnsi="Adobe Garamond Pro"/>
          </w:rPr>
          <w:fldChar w:fldCharType="separate"/>
        </w:r>
        <w:r w:rsidR="00C446E3">
          <w:rPr>
            <w:rFonts w:ascii="Adobe Garamond Pro" w:hAnsi="Adobe Garamond Pro"/>
            <w:noProof/>
          </w:rPr>
          <w:t>1</w:t>
        </w:r>
        <w:r w:rsidRPr="00C8708E">
          <w:rPr>
            <w:rFonts w:ascii="Adobe Garamond Pro" w:hAnsi="Adobe Garamond Pro"/>
            <w:noProof/>
          </w:rPr>
          <w:fldChar w:fldCharType="end"/>
        </w:r>
      </w:p>
    </w:sdtContent>
  </w:sdt>
  <w:p w:rsidR="004A26C7" w:rsidRDefault="004A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8A" w:rsidRDefault="00F1488A" w:rsidP="004A26C7">
      <w:pPr>
        <w:spacing w:after="0" w:line="240" w:lineRule="auto"/>
      </w:pPr>
      <w:r>
        <w:separator/>
      </w:r>
    </w:p>
  </w:footnote>
  <w:footnote w:type="continuationSeparator" w:id="0">
    <w:p w:rsidR="00F1488A" w:rsidRDefault="00F1488A" w:rsidP="004A26C7">
      <w:pPr>
        <w:spacing w:after="0" w:line="240" w:lineRule="auto"/>
      </w:pPr>
      <w:r>
        <w:continuationSeparator/>
      </w:r>
    </w:p>
  </w:footnote>
  <w:footnote w:id="1">
    <w:p w:rsidR="00D023D2" w:rsidRDefault="00D023D2" w:rsidP="00D023D2">
      <w:pPr>
        <w:widowControl w:val="0"/>
        <w:spacing w:after="0" w:line="239" w:lineRule="auto"/>
        <w:rPr>
          <w:rFonts w:ascii="Adobe Garamond Pro" w:eastAsia="Times New Roman" w:hAnsi="Adobe Garamond Pro" w:cs="Times New Roman"/>
          <w:szCs w:val="24"/>
        </w:rPr>
      </w:pPr>
      <w:r>
        <w:rPr>
          <w:rStyle w:val="FootnoteReference"/>
        </w:rPr>
        <w:footnoteRef/>
      </w:r>
      <w:r>
        <w:t xml:space="preserve"> </w:t>
      </w:r>
      <w:r w:rsidRPr="00E565D0">
        <w:rPr>
          <w:rFonts w:ascii="Adobe Garamond Pro" w:eastAsia="Times New Roman" w:hAnsi="Adobe Garamond Pro" w:cs="Times New Roman"/>
          <w:szCs w:val="24"/>
          <w:u w:val="single"/>
        </w:rPr>
        <w:t>Pramco, LLC ex rel. CFSC Consortium, LLC v. San Juan Bay Marina, Inc.</w:t>
      </w:r>
      <w:r w:rsidRPr="00E565D0">
        <w:rPr>
          <w:rFonts w:ascii="Adobe Garamond Pro" w:eastAsia="Times New Roman" w:hAnsi="Adobe Garamond Pro" w:cs="Times New Roman"/>
          <w:szCs w:val="24"/>
        </w:rPr>
        <w:t xml:space="preserve">, 435 F.3d 51, 54-55 (1st Cir. 2006); </w:t>
      </w:r>
      <w:r w:rsidRPr="00E565D0">
        <w:rPr>
          <w:rFonts w:ascii="Adobe Garamond Pro" w:eastAsia="Times New Roman" w:hAnsi="Adobe Garamond Pro" w:cs="Times New Roman"/>
          <w:szCs w:val="24"/>
          <w:u w:val="single"/>
        </w:rPr>
        <w:t>Handelsman v. Bedford Vill. Assocs. Ltd. P'ship</w:t>
      </w:r>
      <w:r w:rsidRPr="00E565D0">
        <w:rPr>
          <w:rFonts w:ascii="Adobe Garamond Pro" w:eastAsia="Times New Roman" w:hAnsi="Adobe Garamond Pro" w:cs="Times New Roman"/>
          <w:szCs w:val="24"/>
        </w:rPr>
        <w:t xml:space="preserve">, 213 F.3d 48, 51-52 (2d Cir. 2000); </w:t>
      </w:r>
      <w:r w:rsidRPr="00E565D0">
        <w:rPr>
          <w:rFonts w:ascii="Adobe Garamond Pro" w:eastAsia="Times New Roman" w:hAnsi="Adobe Garamond Pro" w:cs="Times New Roman"/>
          <w:szCs w:val="24"/>
          <w:u w:val="single"/>
        </w:rPr>
        <w:t>Zambelli Fireworks Mfg. Co., Inc. v. Wood</w:t>
      </w:r>
      <w:r w:rsidRPr="00E565D0">
        <w:rPr>
          <w:rFonts w:ascii="Adobe Garamond Pro" w:eastAsia="Times New Roman" w:hAnsi="Adobe Garamond Pro" w:cs="Times New Roman"/>
          <w:szCs w:val="24"/>
        </w:rPr>
        <w:t xml:space="preserve">, 592 F.3d 412, 420 (3d Cir. 2010); </w:t>
      </w:r>
      <w:r w:rsidRPr="00E565D0">
        <w:rPr>
          <w:rFonts w:ascii="Adobe Garamond Pro" w:eastAsia="Times New Roman" w:hAnsi="Adobe Garamond Pro" w:cs="Times New Roman"/>
          <w:szCs w:val="24"/>
          <w:u w:val="single"/>
        </w:rPr>
        <w:t>Gen. Tech. Applications, Inc. v. Exro Ltda</w:t>
      </w:r>
      <w:r w:rsidRPr="00E565D0">
        <w:rPr>
          <w:rFonts w:ascii="Adobe Garamond Pro" w:eastAsia="Times New Roman" w:hAnsi="Adobe Garamond Pro" w:cs="Times New Roman"/>
          <w:szCs w:val="24"/>
        </w:rPr>
        <w:t xml:space="preserve">, 388 F.3d 114, 121 (4th Cir. 2004); </w:t>
      </w:r>
      <w:r w:rsidRPr="00E565D0">
        <w:rPr>
          <w:rFonts w:ascii="Adobe Garamond Pro" w:eastAsia="Times New Roman" w:hAnsi="Adobe Garamond Pro" w:cs="Times New Roman"/>
          <w:szCs w:val="24"/>
          <w:u w:val="single"/>
        </w:rPr>
        <w:t>Harvey v. Grey Wolf Drilling Co.</w:t>
      </w:r>
      <w:r w:rsidRPr="00E565D0">
        <w:rPr>
          <w:rFonts w:ascii="Adobe Garamond Pro" w:eastAsia="Times New Roman" w:hAnsi="Adobe Garamond Pro" w:cs="Times New Roman"/>
          <w:szCs w:val="24"/>
        </w:rPr>
        <w:t xml:space="preserve">, 542 F.3d 1077, 1080 (5th Cir. 2008); </w:t>
      </w:r>
      <w:r w:rsidRPr="00E565D0">
        <w:rPr>
          <w:rFonts w:ascii="Adobe Garamond Pro" w:eastAsia="Times New Roman" w:hAnsi="Adobe Garamond Pro" w:cs="Times New Roman"/>
          <w:szCs w:val="24"/>
          <w:u w:val="single"/>
        </w:rPr>
        <w:t>Delay v. Rosenthal Collins Grp., LLC</w:t>
      </w:r>
      <w:r w:rsidRPr="00E565D0">
        <w:rPr>
          <w:rFonts w:ascii="Adobe Garamond Pro" w:eastAsia="Times New Roman" w:hAnsi="Adobe Garamond Pro" w:cs="Times New Roman"/>
          <w:szCs w:val="24"/>
        </w:rPr>
        <w:t xml:space="preserve">, 585 F.3d 1003, 1005 (6th Cir. 2009); </w:t>
      </w:r>
      <w:r w:rsidRPr="003357ED">
        <w:rPr>
          <w:rFonts w:ascii="Adobe Garamond Pro" w:eastAsia="Times New Roman" w:hAnsi="Adobe Garamond Pro" w:cs="Times New Roman"/>
          <w:szCs w:val="24"/>
          <w:u w:val="single"/>
        </w:rPr>
        <w:t>GMAC Commercial Credit, LLC v. Dillard Dep't. Stores, Inc.</w:t>
      </w:r>
      <w:r w:rsidRPr="00E565D0">
        <w:rPr>
          <w:rFonts w:ascii="Adobe Garamond Pro" w:eastAsia="Times New Roman" w:hAnsi="Adobe Garamond Pro" w:cs="Times New Roman"/>
          <w:szCs w:val="24"/>
        </w:rPr>
        <w:t xml:space="preserve">, 357 F.3d 827, 829 (8th Cir. 2004); </w:t>
      </w:r>
      <w:r w:rsidRPr="003357ED">
        <w:rPr>
          <w:rFonts w:ascii="Adobe Garamond Pro" w:eastAsia="Times New Roman" w:hAnsi="Adobe Garamond Pro" w:cs="Times New Roman"/>
          <w:szCs w:val="24"/>
          <w:u w:val="single"/>
        </w:rPr>
        <w:t>Johnson v. Columbia Props. Anchorage, LP</w:t>
      </w:r>
      <w:r w:rsidRPr="00E565D0">
        <w:rPr>
          <w:rFonts w:ascii="Adobe Garamond Pro" w:eastAsia="Times New Roman" w:hAnsi="Adobe Garamond Pro" w:cs="Times New Roman"/>
          <w:szCs w:val="24"/>
        </w:rPr>
        <w:t xml:space="preserve">, 437 F.3d 894, 899 (9th Cir. 2006); </w:t>
      </w:r>
      <w:r w:rsidRPr="003357ED">
        <w:rPr>
          <w:rFonts w:ascii="Adobe Garamond Pro" w:eastAsia="Times New Roman" w:hAnsi="Adobe Garamond Pro" w:cs="Times New Roman"/>
          <w:szCs w:val="24"/>
          <w:u w:val="single"/>
        </w:rPr>
        <w:t>Rolling Greens MHP, LP v. Comcast SCH Holdings, LLC</w:t>
      </w:r>
      <w:r w:rsidRPr="00E565D0">
        <w:rPr>
          <w:rFonts w:ascii="Adobe Garamond Pro" w:eastAsia="Times New Roman" w:hAnsi="Adobe Garamond Pro" w:cs="Times New Roman"/>
          <w:szCs w:val="24"/>
        </w:rPr>
        <w:t>, 374 F.3d 1020, 1022 (11th Cir. 2004).</w:t>
      </w:r>
    </w:p>
    <w:p w:rsidR="00D023D2" w:rsidRDefault="00D023D2" w:rsidP="00D023D2">
      <w:pPr>
        <w:widowControl w:val="0"/>
        <w:spacing w:after="0" w:line="239" w:lineRule="auto"/>
        <w:rPr>
          <w:rFonts w:ascii="Adobe Garamond Pro" w:eastAsia="Times New Roman" w:hAnsi="Adobe Garamond Pro" w:cs="Times New Roman"/>
          <w:szCs w:val="24"/>
        </w:rPr>
      </w:pPr>
    </w:p>
    <w:p w:rsidR="00D023D2" w:rsidRDefault="00D023D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3EDD"/>
    <w:multiLevelType w:val="hybridMultilevel"/>
    <w:tmpl w:val="E9AAB482"/>
    <w:lvl w:ilvl="0" w:tplc="F36E74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30093"/>
    <w:multiLevelType w:val="hybridMultilevel"/>
    <w:tmpl w:val="45925168"/>
    <w:lvl w:ilvl="0" w:tplc="F36E74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C14ED8"/>
    <w:multiLevelType w:val="hybridMultilevel"/>
    <w:tmpl w:val="18409AFC"/>
    <w:lvl w:ilvl="0" w:tplc="5150D6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6E5775"/>
    <w:multiLevelType w:val="hybridMultilevel"/>
    <w:tmpl w:val="DCCC0E50"/>
    <w:lvl w:ilvl="0" w:tplc="1F00974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69F58EC"/>
    <w:multiLevelType w:val="hybridMultilevel"/>
    <w:tmpl w:val="8DF6BD8A"/>
    <w:lvl w:ilvl="0" w:tplc="DB04D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0D2B2F"/>
    <w:multiLevelType w:val="hybridMultilevel"/>
    <w:tmpl w:val="50ECCF44"/>
    <w:lvl w:ilvl="0" w:tplc="F36E74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314BF8"/>
    <w:multiLevelType w:val="hybridMultilevel"/>
    <w:tmpl w:val="8FF2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BD"/>
    <w:rsid w:val="00000299"/>
    <w:rsid w:val="000075BD"/>
    <w:rsid w:val="000178FF"/>
    <w:rsid w:val="00027134"/>
    <w:rsid w:val="000404AE"/>
    <w:rsid w:val="000421B1"/>
    <w:rsid w:val="000633C6"/>
    <w:rsid w:val="00080ADA"/>
    <w:rsid w:val="00082A41"/>
    <w:rsid w:val="00091907"/>
    <w:rsid w:val="00095656"/>
    <w:rsid w:val="000A38C6"/>
    <w:rsid w:val="000B4CEF"/>
    <w:rsid w:val="000D10E9"/>
    <w:rsid w:val="000D399B"/>
    <w:rsid w:val="000F739C"/>
    <w:rsid w:val="0010308F"/>
    <w:rsid w:val="001342C3"/>
    <w:rsid w:val="001345B5"/>
    <w:rsid w:val="00161670"/>
    <w:rsid w:val="001839A8"/>
    <w:rsid w:val="001846F0"/>
    <w:rsid w:val="0019726A"/>
    <w:rsid w:val="001A3AE2"/>
    <w:rsid w:val="001D3058"/>
    <w:rsid w:val="001D5223"/>
    <w:rsid w:val="001E3F04"/>
    <w:rsid w:val="001E4718"/>
    <w:rsid w:val="00235C27"/>
    <w:rsid w:val="00260DA7"/>
    <w:rsid w:val="00261EFA"/>
    <w:rsid w:val="00265868"/>
    <w:rsid w:val="002833D6"/>
    <w:rsid w:val="002A5580"/>
    <w:rsid w:val="002C1B4C"/>
    <w:rsid w:val="002D65B5"/>
    <w:rsid w:val="00303107"/>
    <w:rsid w:val="00305A13"/>
    <w:rsid w:val="00307432"/>
    <w:rsid w:val="003119C7"/>
    <w:rsid w:val="00327BBC"/>
    <w:rsid w:val="003357ED"/>
    <w:rsid w:val="003A54AB"/>
    <w:rsid w:val="003A76FA"/>
    <w:rsid w:val="0042480F"/>
    <w:rsid w:val="00454506"/>
    <w:rsid w:val="00461182"/>
    <w:rsid w:val="0047231C"/>
    <w:rsid w:val="00481277"/>
    <w:rsid w:val="00482226"/>
    <w:rsid w:val="004A1208"/>
    <w:rsid w:val="004A26C7"/>
    <w:rsid w:val="004B0AC3"/>
    <w:rsid w:val="004C156E"/>
    <w:rsid w:val="004D118B"/>
    <w:rsid w:val="005026EF"/>
    <w:rsid w:val="00513F48"/>
    <w:rsid w:val="00531BE5"/>
    <w:rsid w:val="005516B7"/>
    <w:rsid w:val="00553D8E"/>
    <w:rsid w:val="005612AA"/>
    <w:rsid w:val="00564F2D"/>
    <w:rsid w:val="00575F14"/>
    <w:rsid w:val="005A5635"/>
    <w:rsid w:val="005F1519"/>
    <w:rsid w:val="0061295B"/>
    <w:rsid w:val="00675A38"/>
    <w:rsid w:val="0067727E"/>
    <w:rsid w:val="00681CC2"/>
    <w:rsid w:val="006A1974"/>
    <w:rsid w:val="006A728C"/>
    <w:rsid w:val="006B146D"/>
    <w:rsid w:val="006B6686"/>
    <w:rsid w:val="006E3186"/>
    <w:rsid w:val="006E38C8"/>
    <w:rsid w:val="006E5B7D"/>
    <w:rsid w:val="00726965"/>
    <w:rsid w:val="007342A3"/>
    <w:rsid w:val="00761B76"/>
    <w:rsid w:val="00763AF4"/>
    <w:rsid w:val="007650A0"/>
    <w:rsid w:val="00776CFE"/>
    <w:rsid w:val="00790AD8"/>
    <w:rsid w:val="007A2473"/>
    <w:rsid w:val="007B3AA1"/>
    <w:rsid w:val="007B40B2"/>
    <w:rsid w:val="007D7743"/>
    <w:rsid w:val="0083251E"/>
    <w:rsid w:val="0086417D"/>
    <w:rsid w:val="00885BA0"/>
    <w:rsid w:val="00890422"/>
    <w:rsid w:val="008A0CCD"/>
    <w:rsid w:val="008A4DFE"/>
    <w:rsid w:val="008A5049"/>
    <w:rsid w:val="008C77E0"/>
    <w:rsid w:val="008D3FDD"/>
    <w:rsid w:val="008F387F"/>
    <w:rsid w:val="009626CD"/>
    <w:rsid w:val="00962CAB"/>
    <w:rsid w:val="00980F35"/>
    <w:rsid w:val="00997D8F"/>
    <w:rsid w:val="009A7062"/>
    <w:rsid w:val="009C1F29"/>
    <w:rsid w:val="009D3F4D"/>
    <w:rsid w:val="009E5711"/>
    <w:rsid w:val="00A03C9E"/>
    <w:rsid w:val="00A312C9"/>
    <w:rsid w:val="00A374F7"/>
    <w:rsid w:val="00A41037"/>
    <w:rsid w:val="00AD0070"/>
    <w:rsid w:val="00AE2EB6"/>
    <w:rsid w:val="00AE52F0"/>
    <w:rsid w:val="00B07ABC"/>
    <w:rsid w:val="00B62B2D"/>
    <w:rsid w:val="00B63772"/>
    <w:rsid w:val="00B6569A"/>
    <w:rsid w:val="00B7629C"/>
    <w:rsid w:val="00BA0617"/>
    <w:rsid w:val="00BA3004"/>
    <w:rsid w:val="00BA5926"/>
    <w:rsid w:val="00BC21C9"/>
    <w:rsid w:val="00BD2C4D"/>
    <w:rsid w:val="00C415D4"/>
    <w:rsid w:val="00C446E3"/>
    <w:rsid w:val="00C72202"/>
    <w:rsid w:val="00C8708E"/>
    <w:rsid w:val="00CA0D24"/>
    <w:rsid w:val="00CA5F36"/>
    <w:rsid w:val="00CC2C19"/>
    <w:rsid w:val="00CD22F9"/>
    <w:rsid w:val="00CF3B45"/>
    <w:rsid w:val="00D023D2"/>
    <w:rsid w:val="00D10225"/>
    <w:rsid w:val="00D136B4"/>
    <w:rsid w:val="00D20459"/>
    <w:rsid w:val="00D26791"/>
    <w:rsid w:val="00D26FF2"/>
    <w:rsid w:val="00D43FB5"/>
    <w:rsid w:val="00D46EDE"/>
    <w:rsid w:val="00D55084"/>
    <w:rsid w:val="00D57FE5"/>
    <w:rsid w:val="00D61EBE"/>
    <w:rsid w:val="00D665FA"/>
    <w:rsid w:val="00D66824"/>
    <w:rsid w:val="00D679B2"/>
    <w:rsid w:val="00D8722A"/>
    <w:rsid w:val="00DF2D07"/>
    <w:rsid w:val="00E15468"/>
    <w:rsid w:val="00E24365"/>
    <w:rsid w:val="00E31777"/>
    <w:rsid w:val="00E32CF8"/>
    <w:rsid w:val="00E3716C"/>
    <w:rsid w:val="00E43C58"/>
    <w:rsid w:val="00E55521"/>
    <w:rsid w:val="00E565D0"/>
    <w:rsid w:val="00E6228C"/>
    <w:rsid w:val="00E92BE9"/>
    <w:rsid w:val="00E9761F"/>
    <w:rsid w:val="00EB3411"/>
    <w:rsid w:val="00EC1C59"/>
    <w:rsid w:val="00EE0777"/>
    <w:rsid w:val="00EE6C4F"/>
    <w:rsid w:val="00F1488A"/>
    <w:rsid w:val="00F235AD"/>
    <w:rsid w:val="00F32A1D"/>
    <w:rsid w:val="00F71AAF"/>
    <w:rsid w:val="00F949C9"/>
    <w:rsid w:val="00FB3C65"/>
    <w:rsid w:val="00FC50C2"/>
    <w:rsid w:val="00FE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7AEF-7E63-47B7-9C7E-8FADA747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A5F36"/>
    <w:pPr>
      <w:spacing w:after="0" w:line="240" w:lineRule="auto"/>
    </w:pPr>
    <w:rPr>
      <w:rFonts w:eastAsiaTheme="majorEastAsia"/>
    </w:rPr>
  </w:style>
  <w:style w:type="paragraph" w:styleId="ListParagraph">
    <w:name w:val="List Paragraph"/>
    <w:basedOn w:val="Normal"/>
    <w:uiPriority w:val="34"/>
    <w:qFormat/>
    <w:rsid w:val="008D3FDD"/>
    <w:pPr>
      <w:ind w:left="720"/>
      <w:contextualSpacing/>
    </w:pPr>
  </w:style>
  <w:style w:type="paragraph" w:styleId="Header">
    <w:name w:val="header"/>
    <w:basedOn w:val="Normal"/>
    <w:link w:val="HeaderChar"/>
    <w:uiPriority w:val="99"/>
    <w:unhideWhenUsed/>
    <w:rsid w:val="004A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C7"/>
  </w:style>
  <w:style w:type="paragraph" w:styleId="Footer">
    <w:name w:val="footer"/>
    <w:basedOn w:val="Normal"/>
    <w:link w:val="FooterChar"/>
    <w:uiPriority w:val="99"/>
    <w:unhideWhenUsed/>
    <w:rsid w:val="004A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C7"/>
  </w:style>
  <w:style w:type="table" w:styleId="TableGrid">
    <w:name w:val="Table Grid"/>
    <w:basedOn w:val="TableNormal"/>
    <w:rsid w:val="0061295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3D2"/>
    <w:pPr>
      <w:spacing w:after="0" w:line="240" w:lineRule="auto"/>
    </w:pPr>
    <w:rPr>
      <w:sz w:val="20"/>
    </w:rPr>
  </w:style>
  <w:style w:type="character" w:customStyle="1" w:styleId="FootnoteTextChar">
    <w:name w:val="Footnote Text Char"/>
    <w:basedOn w:val="DefaultParagraphFont"/>
    <w:link w:val="FootnoteText"/>
    <w:uiPriority w:val="99"/>
    <w:semiHidden/>
    <w:rsid w:val="00D023D2"/>
    <w:rPr>
      <w:sz w:val="20"/>
    </w:rPr>
  </w:style>
  <w:style w:type="character" w:styleId="FootnoteReference">
    <w:name w:val="footnote reference"/>
    <w:basedOn w:val="DefaultParagraphFont"/>
    <w:uiPriority w:val="99"/>
    <w:semiHidden/>
    <w:unhideWhenUsed/>
    <w:rsid w:val="00D023D2"/>
    <w:rPr>
      <w:vertAlign w:val="superscript"/>
    </w:rPr>
  </w:style>
  <w:style w:type="character" w:styleId="Emphasis">
    <w:name w:val="Emphasis"/>
    <w:basedOn w:val="DefaultParagraphFont"/>
    <w:uiPriority w:val="20"/>
    <w:qFormat/>
    <w:rsid w:val="001E3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2785">
      <w:bodyDiv w:val="1"/>
      <w:marLeft w:val="0"/>
      <w:marRight w:val="0"/>
      <w:marTop w:val="0"/>
      <w:marBottom w:val="0"/>
      <w:divBdr>
        <w:top w:val="none" w:sz="0" w:space="0" w:color="auto"/>
        <w:left w:val="none" w:sz="0" w:space="0" w:color="auto"/>
        <w:bottom w:val="none" w:sz="0" w:space="0" w:color="auto"/>
        <w:right w:val="none" w:sz="0" w:space="0" w:color="auto"/>
      </w:divBdr>
    </w:div>
    <w:div w:id="1226331358">
      <w:bodyDiv w:val="1"/>
      <w:marLeft w:val="0"/>
      <w:marRight w:val="0"/>
      <w:marTop w:val="0"/>
      <w:marBottom w:val="0"/>
      <w:divBdr>
        <w:top w:val="none" w:sz="0" w:space="0" w:color="auto"/>
        <w:left w:val="none" w:sz="0" w:space="0" w:color="auto"/>
        <w:bottom w:val="none" w:sz="0" w:space="0" w:color="auto"/>
        <w:right w:val="none" w:sz="0" w:space="0" w:color="auto"/>
      </w:divBdr>
    </w:div>
    <w:div w:id="1494685711">
      <w:bodyDiv w:val="1"/>
      <w:marLeft w:val="0"/>
      <w:marRight w:val="0"/>
      <w:marTop w:val="0"/>
      <w:marBottom w:val="0"/>
      <w:divBdr>
        <w:top w:val="none" w:sz="0" w:space="0" w:color="auto"/>
        <w:left w:val="none" w:sz="0" w:space="0" w:color="auto"/>
        <w:bottom w:val="none" w:sz="0" w:space="0" w:color="auto"/>
        <w:right w:val="none" w:sz="0" w:space="0" w:color="auto"/>
      </w:divBdr>
    </w:div>
    <w:div w:id="2138990024">
      <w:bodyDiv w:val="1"/>
      <w:marLeft w:val="0"/>
      <w:marRight w:val="0"/>
      <w:marTop w:val="0"/>
      <w:marBottom w:val="0"/>
      <w:divBdr>
        <w:top w:val="none" w:sz="0" w:space="0" w:color="auto"/>
        <w:left w:val="none" w:sz="0" w:space="0" w:color="auto"/>
        <w:bottom w:val="none" w:sz="0" w:space="0" w:color="auto"/>
        <w:right w:val="none" w:sz="0" w:space="0" w:color="auto"/>
      </w:divBdr>
      <w:divsChild>
        <w:div w:id="1354451512">
          <w:marLeft w:val="0"/>
          <w:marRight w:val="0"/>
          <w:marTop w:val="0"/>
          <w:marBottom w:val="0"/>
          <w:divBdr>
            <w:top w:val="none" w:sz="0" w:space="0" w:color="auto"/>
            <w:left w:val="none" w:sz="0" w:space="0" w:color="auto"/>
            <w:bottom w:val="none" w:sz="0" w:space="0" w:color="auto"/>
            <w:right w:val="none" w:sz="0" w:space="0" w:color="auto"/>
          </w:divBdr>
        </w:div>
        <w:div w:id="146750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5AC4-9FB9-4DF5-BB46-5321C406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Sheehan</dc:creator>
  <cp:keywords/>
  <dc:description/>
  <cp:lastModifiedBy>Spencer Sheehan</cp:lastModifiedBy>
  <cp:revision>17</cp:revision>
  <cp:lastPrinted>2014-03-08T18:17:00Z</cp:lastPrinted>
  <dcterms:created xsi:type="dcterms:W3CDTF">2014-08-02T03:00:00Z</dcterms:created>
  <dcterms:modified xsi:type="dcterms:W3CDTF">2015-10-23T16:18:00Z</dcterms:modified>
</cp:coreProperties>
</file>